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FD4C" w14:textId="77777777" w:rsidR="00840363" w:rsidRPr="00677171" w:rsidRDefault="00840363" w:rsidP="00840363">
      <w:pPr>
        <w:pStyle w:val="testo"/>
        <w:spacing w:after="40" w:line="276" w:lineRule="auto"/>
        <w:rPr>
          <w:rFonts w:ascii="Bookman Old Style" w:hAnsi="Bookman Old Style"/>
          <w:spacing w:val="4"/>
          <w:sz w:val="26"/>
          <w:szCs w:val="26"/>
        </w:rPr>
      </w:pPr>
    </w:p>
    <w:p w14:paraId="367E397B" w14:textId="21ADEFEF" w:rsidR="00744AE7" w:rsidRPr="00677171" w:rsidRDefault="00D53206" w:rsidP="00840363">
      <w:pPr>
        <w:pStyle w:val="testo"/>
        <w:spacing w:after="40" w:line="276" w:lineRule="auto"/>
        <w:ind w:left="757" w:firstLine="0"/>
        <w:rPr>
          <w:rFonts w:ascii="Bookman Old Style" w:hAnsi="Bookman Old Style"/>
          <w:b/>
          <w:bCs/>
          <w:sz w:val="36"/>
          <w:szCs w:val="26"/>
        </w:rPr>
      </w:pPr>
      <w:r w:rsidRPr="00677171">
        <w:rPr>
          <w:rFonts w:ascii="Bookman Old Style" w:hAnsi="Bookman Old Style"/>
          <w:b/>
          <w:bCs/>
          <w:sz w:val="36"/>
          <w:szCs w:val="26"/>
        </w:rPr>
        <w:t xml:space="preserve">Schema di regolamento per la definizione agevolata dei giudizi tributari </w:t>
      </w:r>
      <w:r w:rsidR="00677171" w:rsidRPr="00677171">
        <w:rPr>
          <w:rFonts w:ascii="Bookman Old Style" w:hAnsi="Bookman Old Style"/>
          <w:b/>
          <w:bCs/>
          <w:sz w:val="36"/>
          <w:szCs w:val="26"/>
        </w:rPr>
        <w:t>pendenti innanzi la Corte di Cassazione</w:t>
      </w:r>
    </w:p>
    <w:p w14:paraId="236FFAAD" w14:textId="77777777" w:rsidR="00840363" w:rsidRPr="00677171" w:rsidRDefault="00840363" w:rsidP="00840363">
      <w:pPr>
        <w:pStyle w:val="Titolo"/>
        <w:spacing w:after="120" w:line="288" w:lineRule="auto"/>
        <w:rPr>
          <w:rFonts w:ascii="Bookman Old Style" w:hAnsi="Bookman Old Style"/>
          <w:sz w:val="36"/>
          <w:szCs w:val="26"/>
        </w:rPr>
      </w:pPr>
    </w:p>
    <w:p w14:paraId="19F09445" w14:textId="77777777" w:rsidR="00CA7AE5" w:rsidRPr="00677171" w:rsidRDefault="00CA7AE5" w:rsidP="00840363">
      <w:pPr>
        <w:pStyle w:val="Titolo"/>
        <w:spacing w:after="120" w:line="288" w:lineRule="auto"/>
        <w:rPr>
          <w:rFonts w:ascii="Bookman Old Style" w:hAnsi="Bookman Old Style"/>
          <w:sz w:val="36"/>
          <w:szCs w:val="26"/>
        </w:rPr>
      </w:pPr>
    </w:p>
    <w:p w14:paraId="3D74D13D" w14:textId="0F501C51" w:rsidR="00840363" w:rsidRPr="00677171" w:rsidRDefault="00840363" w:rsidP="00840363">
      <w:pPr>
        <w:spacing w:after="120" w:line="288" w:lineRule="auto"/>
        <w:jc w:val="center"/>
        <w:rPr>
          <w:rFonts w:ascii="Bookman Old Style" w:hAnsi="Bookman Old Style"/>
          <w:b/>
          <w:bCs/>
          <w:sz w:val="26"/>
          <w:szCs w:val="26"/>
        </w:rPr>
      </w:pPr>
      <w:r w:rsidRPr="00677171">
        <w:rPr>
          <w:rFonts w:ascii="Bookman Old Style" w:hAnsi="Bookman Old Style"/>
          <w:b/>
          <w:bCs/>
          <w:sz w:val="26"/>
          <w:szCs w:val="26"/>
        </w:rPr>
        <w:t xml:space="preserve">Comune di </w:t>
      </w:r>
      <w:r w:rsidR="00014D01" w:rsidRPr="00677171">
        <w:rPr>
          <w:rFonts w:ascii="Bookman Old Style" w:hAnsi="Bookman Old Style"/>
          <w:b/>
          <w:bCs/>
          <w:sz w:val="26"/>
          <w:szCs w:val="26"/>
        </w:rPr>
        <w:t>….</w:t>
      </w:r>
    </w:p>
    <w:p w14:paraId="458BF783" w14:textId="77777777" w:rsidR="00840363" w:rsidRPr="00677171" w:rsidRDefault="00840363" w:rsidP="00840363">
      <w:pPr>
        <w:spacing w:after="120" w:line="288" w:lineRule="auto"/>
        <w:jc w:val="center"/>
        <w:rPr>
          <w:rFonts w:ascii="Bookman Old Style" w:hAnsi="Bookman Old Style"/>
          <w:sz w:val="26"/>
          <w:szCs w:val="26"/>
        </w:rPr>
      </w:pPr>
    </w:p>
    <w:p w14:paraId="752E4061" w14:textId="77777777" w:rsidR="00CA7AE5" w:rsidRPr="00677171" w:rsidRDefault="00CA7AE5" w:rsidP="00840363">
      <w:pPr>
        <w:spacing w:after="120" w:line="288" w:lineRule="auto"/>
        <w:jc w:val="center"/>
        <w:rPr>
          <w:rFonts w:ascii="Bookman Old Style" w:hAnsi="Bookman Old Style"/>
          <w:sz w:val="26"/>
          <w:szCs w:val="26"/>
        </w:rPr>
      </w:pPr>
    </w:p>
    <w:p w14:paraId="0A68CD57" w14:textId="77777777" w:rsidR="00CA7AE5" w:rsidRPr="00677171" w:rsidRDefault="00CA7AE5" w:rsidP="00840363">
      <w:pPr>
        <w:spacing w:after="120" w:line="288" w:lineRule="auto"/>
        <w:jc w:val="center"/>
        <w:rPr>
          <w:rFonts w:ascii="Bookman Old Style" w:hAnsi="Bookman Old Style"/>
          <w:sz w:val="26"/>
          <w:szCs w:val="26"/>
        </w:rPr>
      </w:pPr>
    </w:p>
    <w:p w14:paraId="719A3F12" w14:textId="77777777" w:rsidR="00CA7AE5" w:rsidRPr="00677171" w:rsidRDefault="00CA7AE5" w:rsidP="00840363">
      <w:pPr>
        <w:spacing w:after="120" w:line="288" w:lineRule="auto"/>
        <w:jc w:val="center"/>
        <w:rPr>
          <w:rFonts w:ascii="Bookman Old Style" w:hAnsi="Bookman Old Style"/>
          <w:sz w:val="26"/>
          <w:szCs w:val="26"/>
        </w:rPr>
      </w:pPr>
    </w:p>
    <w:p w14:paraId="457285C8" w14:textId="77777777" w:rsidR="00CA7AE5" w:rsidRPr="00677171" w:rsidRDefault="00840363">
      <w:pPr>
        <w:pStyle w:val="Sommario3"/>
        <w:tabs>
          <w:tab w:val="right" w:leader="dot" w:pos="9628"/>
        </w:tabs>
        <w:rPr>
          <w:rFonts w:ascii="Bookman Old Style" w:eastAsiaTheme="minorEastAsia" w:hAnsi="Bookman Old Style" w:cstheme="minorBidi"/>
          <w:noProof/>
        </w:rPr>
      </w:pPr>
      <w:r w:rsidRPr="00677171">
        <w:rPr>
          <w:rFonts w:ascii="Bookman Old Style" w:hAnsi="Bookman Old Style"/>
        </w:rPr>
        <w:fldChar w:fldCharType="begin"/>
      </w:r>
      <w:r w:rsidRPr="00677171">
        <w:rPr>
          <w:rFonts w:ascii="Bookman Old Style" w:hAnsi="Bookman Old Style"/>
        </w:rPr>
        <w:instrText xml:space="preserve"> TOC \o "1-3" \h \z \u </w:instrText>
      </w:r>
      <w:r w:rsidRPr="00677171">
        <w:rPr>
          <w:rFonts w:ascii="Bookman Old Style" w:hAnsi="Bookman Old Style"/>
        </w:rPr>
        <w:fldChar w:fldCharType="separate"/>
      </w:r>
      <w:hyperlink w:anchor="_Toc117505664" w:history="1">
        <w:r w:rsidR="00CA7AE5" w:rsidRPr="00677171">
          <w:rPr>
            <w:rStyle w:val="Collegamentoipertestuale"/>
            <w:rFonts w:ascii="Bookman Old Style" w:hAnsi="Bookman Old Style"/>
            <w:noProof/>
          </w:rPr>
          <w:t xml:space="preserve">Articolo 1 - </w:t>
        </w:r>
        <w:r w:rsidR="00CA7AE5" w:rsidRPr="00677171">
          <w:rPr>
            <w:rStyle w:val="Collegamentoipertestuale"/>
            <w:rFonts w:ascii="Bookman Old Style" w:hAnsi="Bookman Old Style"/>
            <w:i/>
            <w:noProof/>
          </w:rPr>
          <w:t>Oggetto del Regolamento</w:t>
        </w:r>
        <w:r w:rsidR="00CA7AE5" w:rsidRPr="00677171">
          <w:rPr>
            <w:rFonts w:ascii="Bookman Old Style" w:hAnsi="Bookman Old Style"/>
            <w:noProof/>
            <w:webHidden/>
          </w:rPr>
          <w:tab/>
        </w:r>
        <w:r w:rsidR="00CA7AE5" w:rsidRPr="00677171">
          <w:rPr>
            <w:rFonts w:ascii="Bookman Old Style" w:hAnsi="Bookman Old Style"/>
            <w:noProof/>
            <w:webHidden/>
          </w:rPr>
          <w:fldChar w:fldCharType="begin"/>
        </w:r>
        <w:r w:rsidR="00CA7AE5" w:rsidRPr="00677171">
          <w:rPr>
            <w:rFonts w:ascii="Bookman Old Style" w:hAnsi="Bookman Old Style"/>
            <w:noProof/>
            <w:webHidden/>
          </w:rPr>
          <w:instrText xml:space="preserve"> PAGEREF _Toc117505664 \h </w:instrText>
        </w:r>
        <w:r w:rsidR="00CA7AE5" w:rsidRPr="00677171">
          <w:rPr>
            <w:rFonts w:ascii="Bookman Old Style" w:hAnsi="Bookman Old Style"/>
            <w:noProof/>
            <w:webHidden/>
          </w:rPr>
        </w:r>
        <w:r w:rsidR="00CA7AE5" w:rsidRPr="00677171">
          <w:rPr>
            <w:rFonts w:ascii="Bookman Old Style" w:hAnsi="Bookman Old Style"/>
            <w:noProof/>
            <w:webHidden/>
          </w:rPr>
          <w:fldChar w:fldCharType="separate"/>
        </w:r>
        <w:r w:rsidR="00CA7AE5" w:rsidRPr="00677171">
          <w:rPr>
            <w:rFonts w:ascii="Bookman Old Style" w:hAnsi="Bookman Old Style"/>
            <w:noProof/>
            <w:webHidden/>
          </w:rPr>
          <w:t>2</w:t>
        </w:r>
        <w:r w:rsidR="00CA7AE5" w:rsidRPr="00677171">
          <w:rPr>
            <w:rFonts w:ascii="Bookman Old Style" w:hAnsi="Bookman Old Style"/>
            <w:noProof/>
            <w:webHidden/>
          </w:rPr>
          <w:fldChar w:fldCharType="end"/>
        </w:r>
      </w:hyperlink>
    </w:p>
    <w:p w14:paraId="55832764" w14:textId="77777777" w:rsidR="00CA7AE5" w:rsidRPr="00677171" w:rsidRDefault="00CE7F94">
      <w:pPr>
        <w:pStyle w:val="Sommario3"/>
        <w:tabs>
          <w:tab w:val="right" w:leader="dot" w:pos="9628"/>
        </w:tabs>
        <w:rPr>
          <w:rFonts w:ascii="Bookman Old Style" w:eastAsiaTheme="minorEastAsia" w:hAnsi="Bookman Old Style" w:cstheme="minorBidi"/>
          <w:noProof/>
        </w:rPr>
      </w:pPr>
      <w:hyperlink w:anchor="_Toc117505665" w:history="1">
        <w:r w:rsidR="00CA7AE5" w:rsidRPr="00677171">
          <w:rPr>
            <w:rStyle w:val="Collegamentoipertestuale"/>
            <w:rFonts w:ascii="Bookman Old Style" w:hAnsi="Bookman Old Style"/>
            <w:noProof/>
          </w:rPr>
          <w:t xml:space="preserve">Articolo 2 – </w:t>
        </w:r>
        <w:r w:rsidR="00CA7AE5" w:rsidRPr="00677171">
          <w:rPr>
            <w:rStyle w:val="Collegamentoipertestuale"/>
            <w:rFonts w:ascii="Bookman Old Style" w:hAnsi="Bookman Old Style"/>
            <w:i/>
            <w:noProof/>
          </w:rPr>
          <w:t>Oggetto della definizione agevolata</w:t>
        </w:r>
        <w:r w:rsidR="00CA7AE5" w:rsidRPr="00677171">
          <w:rPr>
            <w:rFonts w:ascii="Bookman Old Style" w:hAnsi="Bookman Old Style"/>
            <w:noProof/>
            <w:webHidden/>
          </w:rPr>
          <w:tab/>
        </w:r>
        <w:r w:rsidR="00CA7AE5" w:rsidRPr="00677171">
          <w:rPr>
            <w:rFonts w:ascii="Bookman Old Style" w:hAnsi="Bookman Old Style"/>
            <w:noProof/>
            <w:webHidden/>
          </w:rPr>
          <w:fldChar w:fldCharType="begin"/>
        </w:r>
        <w:r w:rsidR="00CA7AE5" w:rsidRPr="00677171">
          <w:rPr>
            <w:rFonts w:ascii="Bookman Old Style" w:hAnsi="Bookman Old Style"/>
            <w:noProof/>
            <w:webHidden/>
          </w:rPr>
          <w:instrText xml:space="preserve"> PAGEREF _Toc117505665 \h </w:instrText>
        </w:r>
        <w:r w:rsidR="00CA7AE5" w:rsidRPr="00677171">
          <w:rPr>
            <w:rFonts w:ascii="Bookman Old Style" w:hAnsi="Bookman Old Style"/>
            <w:noProof/>
            <w:webHidden/>
          </w:rPr>
        </w:r>
        <w:r w:rsidR="00CA7AE5" w:rsidRPr="00677171">
          <w:rPr>
            <w:rFonts w:ascii="Bookman Old Style" w:hAnsi="Bookman Old Style"/>
            <w:noProof/>
            <w:webHidden/>
          </w:rPr>
          <w:fldChar w:fldCharType="separate"/>
        </w:r>
        <w:r w:rsidR="00CA7AE5" w:rsidRPr="00677171">
          <w:rPr>
            <w:rFonts w:ascii="Bookman Old Style" w:hAnsi="Bookman Old Style"/>
            <w:noProof/>
            <w:webHidden/>
          </w:rPr>
          <w:t>2</w:t>
        </w:r>
        <w:r w:rsidR="00CA7AE5" w:rsidRPr="00677171">
          <w:rPr>
            <w:rFonts w:ascii="Bookman Old Style" w:hAnsi="Bookman Old Style"/>
            <w:noProof/>
            <w:webHidden/>
          </w:rPr>
          <w:fldChar w:fldCharType="end"/>
        </w:r>
      </w:hyperlink>
    </w:p>
    <w:p w14:paraId="238B0A16" w14:textId="77777777" w:rsidR="00CA7AE5" w:rsidRPr="00677171" w:rsidRDefault="00CE7F94">
      <w:pPr>
        <w:pStyle w:val="Sommario3"/>
        <w:tabs>
          <w:tab w:val="right" w:leader="dot" w:pos="9628"/>
        </w:tabs>
        <w:rPr>
          <w:rFonts w:ascii="Bookman Old Style" w:eastAsiaTheme="minorEastAsia" w:hAnsi="Bookman Old Style" w:cstheme="minorBidi"/>
          <w:noProof/>
        </w:rPr>
      </w:pPr>
      <w:hyperlink w:anchor="_Toc117505666" w:history="1">
        <w:r w:rsidR="00CA7AE5" w:rsidRPr="00677171">
          <w:rPr>
            <w:rStyle w:val="Collegamentoipertestuale"/>
            <w:rFonts w:ascii="Bookman Old Style" w:hAnsi="Bookman Old Style"/>
            <w:noProof/>
          </w:rPr>
          <w:t xml:space="preserve">Articolo 3 – </w:t>
        </w:r>
        <w:r w:rsidR="00CA7AE5" w:rsidRPr="00677171">
          <w:rPr>
            <w:rStyle w:val="Collegamentoipertestuale"/>
            <w:rFonts w:ascii="Bookman Old Style" w:hAnsi="Bookman Old Style"/>
            <w:i/>
            <w:noProof/>
          </w:rPr>
          <w:t>Presentazione della domanda e versamento</w:t>
        </w:r>
        <w:r w:rsidR="00CA7AE5" w:rsidRPr="00677171">
          <w:rPr>
            <w:rFonts w:ascii="Bookman Old Style" w:hAnsi="Bookman Old Style"/>
            <w:noProof/>
            <w:webHidden/>
          </w:rPr>
          <w:tab/>
        </w:r>
        <w:r w:rsidR="00CA7AE5" w:rsidRPr="00677171">
          <w:rPr>
            <w:rFonts w:ascii="Bookman Old Style" w:hAnsi="Bookman Old Style"/>
            <w:noProof/>
            <w:webHidden/>
          </w:rPr>
          <w:fldChar w:fldCharType="begin"/>
        </w:r>
        <w:r w:rsidR="00CA7AE5" w:rsidRPr="00677171">
          <w:rPr>
            <w:rFonts w:ascii="Bookman Old Style" w:hAnsi="Bookman Old Style"/>
            <w:noProof/>
            <w:webHidden/>
          </w:rPr>
          <w:instrText xml:space="preserve"> PAGEREF _Toc117505666 \h </w:instrText>
        </w:r>
        <w:r w:rsidR="00CA7AE5" w:rsidRPr="00677171">
          <w:rPr>
            <w:rFonts w:ascii="Bookman Old Style" w:hAnsi="Bookman Old Style"/>
            <w:noProof/>
            <w:webHidden/>
          </w:rPr>
        </w:r>
        <w:r w:rsidR="00CA7AE5" w:rsidRPr="00677171">
          <w:rPr>
            <w:rFonts w:ascii="Bookman Old Style" w:hAnsi="Bookman Old Style"/>
            <w:noProof/>
            <w:webHidden/>
          </w:rPr>
          <w:fldChar w:fldCharType="separate"/>
        </w:r>
        <w:r w:rsidR="00CA7AE5" w:rsidRPr="00677171">
          <w:rPr>
            <w:rFonts w:ascii="Bookman Old Style" w:hAnsi="Bookman Old Style"/>
            <w:noProof/>
            <w:webHidden/>
          </w:rPr>
          <w:t>4</w:t>
        </w:r>
        <w:r w:rsidR="00CA7AE5" w:rsidRPr="00677171">
          <w:rPr>
            <w:rFonts w:ascii="Bookman Old Style" w:hAnsi="Bookman Old Style"/>
            <w:noProof/>
            <w:webHidden/>
          </w:rPr>
          <w:fldChar w:fldCharType="end"/>
        </w:r>
      </w:hyperlink>
    </w:p>
    <w:p w14:paraId="280EB0E8" w14:textId="77777777" w:rsidR="00CA7AE5" w:rsidRPr="00677171" w:rsidRDefault="00CE7F94">
      <w:pPr>
        <w:pStyle w:val="Sommario3"/>
        <w:tabs>
          <w:tab w:val="right" w:leader="dot" w:pos="9628"/>
        </w:tabs>
        <w:rPr>
          <w:rFonts w:ascii="Bookman Old Style" w:eastAsiaTheme="minorEastAsia" w:hAnsi="Bookman Old Style" w:cstheme="minorBidi"/>
          <w:noProof/>
        </w:rPr>
      </w:pPr>
      <w:hyperlink w:anchor="_Toc117505667" w:history="1">
        <w:r w:rsidR="00CA7AE5" w:rsidRPr="00677171">
          <w:rPr>
            <w:rStyle w:val="Collegamentoipertestuale"/>
            <w:rFonts w:ascii="Bookman Old Style" w:hAnsi="Bookman Old Style"/>
            <w:noProof/>
          </w:rPr>
          <w:t xml:space="preserve">Articolo 4 – </w:t>
        </w:r>
        <w:r w:rsidR="00CA7AE5" w:rsidRPr="00677171">
          <w:rPr>
            <w:rStyle w:val="Collegamentoipertestuale"/>
            <w:rFonts w:ascii="Bookman Old Style" w:hAnsi="Bookman Old Style"/>
            <w:i/>
            <w:noProof/>
          </w:rPr>
          <w:t>Sospensione del processo e diniego della definizione</w:t>
        </w:r>
        <w:r w:rsidR="00CA7AE5" w:rsidRPr="00677171">
          <w:rPr>
            <w:rFonts w:ascii="Bookman Old Style" w:hAnsi="Bookman Old Style"/>
            <w:noProof/>
            <w:webHidden/>
          </w:rPr>
          <w:tab/>
        </w:r>
        <w:r w:rsidR="00CA7AE5" w:rsidRPr="00677171">
          <w:rPr>
            <w:rFonts w:ascii="Bookman Old Style" w:hAnsi="Bookman Old Style"/>
            <w:noProof/>
            <w:webHidden/>
          </w:rPr>
          <w:fldChar w:fldCharType="begin"/>
        </w:r>
        <w:r w:rsidR="00CA7AE5" w:rsidRPr="00677171">
          <w:rPr>
            <w:rFonts w:ascii="Bookman Old Style" w:hAnsi="Bookman Old Style"/>
            <w:noProof/>
            <w:webHidden/>
          </w:rPr>
          <w:instrText xml:space="preserve"> PAGEREF _Toc117505667 \h </w:instrText>
        </w:r>
        <w:r w:rsidR="00CA7AE5" w:rsidRPr="00677171">
          <w:rPr>
            <w:rFonts w:ascii="Bookman Old Style" w:hAnsi="Bookman Old Style"/>
            <w:noProof/>
            <w:webHidden/>
          </w:rPr>
        </w:r>
        <w:r w:rsidR="00CA7AE5" w:rsidRPr="00677171">
          <w:rPr>
            <w:rFonts w:ascii="Bookman Old Style" w:hAnsi="Bookman Old Style"/>
            <w:noProof/>
            <w:webHidden/>
          </w:rPr>
          <w:fldChar w:fldCharType="separate"/>
        </w:r>
        <w:r w:rsidR="00CA7AE5" w:rsidRPr="00677171">
          <w:rPr>
            <w:rFonts w:ascii="Bookman Old Style" w:hAnsi="Bookman Old Style"/>
            <w:noProof/>
            <w:webHidden/>
          </w:rPr>
          <w:t>4</w:t>
        </w:r>
        <w:r w:rsidR="00CA7AE5" w:rsidRPr="00677171">
          <w:rPr>
            <w:rFonts w:ascii="Bookman Old Style" w:hAnsi="Bookman Old Style"/>
            <w:noProof/>
            <w:webHidden/>
          </w:rPr>
          <w:fldChar w:fldCharType="end"/>
        </w:r>
      </w:hyperlink>
    </w:p>
    <w:p w14:paraId="56A56FA0" w14:textId="77777777" w:rsidR="00840363" w:rsidRPr="00677171" w:rsidRDefault="00840363" w:rsidP="00840363">
      <w:pPr>
        <w:rPr>
          <w:rFonts w:ascii="Bookman Old Style" w:hAnsi="Bookman Old Style"/>
        </w:rPr>
      </w:pPr>
      <w:r w:rsidRPr="00677171">
        <w:rPr>
          <w:rFonts w:ascii="Bookman Old Style" w:hAnsi="Bookman Old Style"/>
          <w:b/>
          <w:bCs/>
        </w:rPr>
        <w:fldChar w:fldCharType="end"/>
      </w:r>
    </w:p>
    <w:p w14:paraId="23B82192" w14:textId="77777777" w:rsidR="00840363" w:rsidRPr="00677171" w:rsidRDefault="00840363" w:rsidP="00840363">
      <w:pPr>
        <w:spacing w:after="120" w:line="288" w:lineRule="auto"/>
        <w:jc w:val="center"/>
        <w:rPr>
          <w:rFonts w:ascii="Bookman Old Style" w:hAnsi="Bookman Old Style"/>
          <w:sz w:val="26"/>
          <w:szCs w:val="26"/>
        </w:rPr>
      </w:pPr>
      <w:r w:rsidRPr="00677171">
        <w:rPr>
          <w:rFonts w:ascii="Bookman Old Style" w:hAnsi="Bookman Old Style"/>
          <w:sz w:val="26"/>
          <w:szCs w:val="26"/>
        </w:rPr>
        <w:br w:type="page"/>
      </w:r>
    </w:p>
    <w:p w14:paraId="69ECACB6" w14:textId="77777777" w:rsidR="00840363" w:rsidRPr="00677171" w:rsidRDefault="00840363" w:rsidP="00840363">
      <w:pPr>
        <w:pStyle w:val="Titolo3"/>
        <w:spacing w:after="120" w:line="288" w:lineRule="auto"/>
        <w:jc w:val="both"/>
        <w:rPr>
          <w:rFonts w:ascii="Bookman Old Style" w:hAnsi="Bookman Old Style"/>
          <w:i/>
          <w:sz w:val="26"/>
          <w:szCs w:val="26"/>
        </w:rPr>
      </w:pPr>
      <w:bookmarkStart w:id="0" w:name="_Toc117505664"/>
      <w:r w:rsidRPr="00677171">
        <w:rPr>
          <w:rFonts w:ascii="Bookman Old Style" w:hAnsi="Bookman Old Style"/>
          <w:sz w:val="26"/>
          <w:szCs w:val="26"/>
        </w:rPr>
        <w:lastRenderedPageBreak/>
        <w:t xml:space="preserve">Articolo 1 - </w:t>
      </w:r>
      <w:r w:rsidRPr="00677171">
        <w:rPr>
          <w:rFonts w:ascii="Bookman Old Style" w:hAnsi="Bookman Old Style"/>
          <w:i/>
          <w:sz w:val="26"/>
          <w:szCs w:val="26"/>
        </w:rPr>
        <w:t>Oggetto del Regolamento</w:t>
      </w:r>
      <w:bookmarkEnd w:id="0"/>
      <w:r w:rsidRPr="00677171">
        <w:rPr>
          <w:rFonts w:ascii="Bookman Old Style" w:hAnsi="Bookman Old Style"/>
          <w:i/>
          <w:sz w:val="26"/>
          <w:szCs w:val="26"/>
        </w:rPr>
        <w:t xml:space="preserve"> </w:t>
      </w:r>
    </w:p>
    <w:p w14:paraId="37AAB7AE" w14:textId="05BEC099" w:rsidR="00744AE7" w:rsidRPr="00677171" w:rsidRDefault="00840363" w:rsidP="00840363">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1. Il presente regolamento adottato nell'ambito della potestà prevista dall’articolo 52 del decreto legislativo 15 dicembre 1997, n. 446 ed i</w:t>
      </w:r>
      <w:r w:rsidR="00744AE7" w:rsidRPr="00677171">
        <w:rPr>
          <w:rFonts w:ascii="Bookman Old Style" w:hAnsi="Bookman Old Style"/>
          <w:sz w:val="26"/>
          <w:szCs w:val="26"/>
        </w:rPr>
        <w:t>n attuazione dell’articolo 5 della legge 31 agosto 2022, n. 130</w:t>
      </w:r>
      <w:r w:rsidR="000869D9" w:rsidRPr="00677171">
        <w:rPr>
          <w:rFonts w:ascii="Bookman Old Style" w:hAnsi="Bookman Old Style"/>
          <w:sz w:val="26"/>
          <w:szCs w:val="26"/>
        </w:rPr>
        <w:t>,</w:t>
      </w:r>
      <w:r w:rsidRPr="00677171">
        <w:rPr>
          <w:rFonts w:ascii="Bookman Old Style" w:hAnsi="Bookman Old Style"/>
          <w:sz w:val="26"/>
          <w:szCs w:val="26"/>
        </w:rPr>
        <w:t xml:space="preserve"> discipli</w:t>
      </w:r>
      <w:r w:rsidR="00744AE7" w:rsidRPr="00677171">
        <w:rPr>
          <w:rFonts w:ascii="Bookman Old Style" w:hAnsi="Bookman Old Style"/>
          <w:sz w:val="26"/>
          <w:szCs w:val="26"/>
        </w:rPr>
        <w:t>na la definizione agevolata dei giudizi tributari pendenti innanzi alla Corte di Cassazione nei quali il Comune</w:t>
      </w:r>
      <w:r w:rsidR="00D645C5" w:rsidRPr="00677171">
        <w:rPr>
          <w:rFonts w:ascii="Bookman Old Style" w:hAnsi="Bookman Old Style"/>
          <w:sz w:val="26"/>
          <w:szCs w:val="26"/>
        </w:rPr>
        <w:t xml:space="preserve"> o il concessionario dei tributi</w:t>
      </w:r>
      <w:r w:rsidR="007E0C91" w:rsidRPr="00677171">
        <w:rPr>
          <w:rFonts w:ascii="Bookman Old Style" w:hAnsi="Bookman Old Style"/>
          <w:sz w:val="26"/>
          <w:szCs w:val="26"/>
        </w:rPr>
        <w:t xml:space="preserve"> comunali</w:t>
      </w:r>
      <w:r w:rsidR="00744AE7" w:rsidRPr="00677171">
        <w:rPr>
          <w:rFonts w:ascii="Bookman Old Style" w:hAnsi="Bookman Old Style"/>
          <w:sz w:val="26"/>
          <w:szCs w:val="26"/>
        </w:rPr>
        <w:t xml:space="preserve"> è risultato totalmente o parzialmente soccombente nei gradi di giudizio di merito.</w:t>
      </w:r>
    </w:p>
    <w:p w14:paraId="2B5567D4" w14:textId="77777777" w:rsidR="00D645C5" w:rsidRPr="00677171" w:rsidRDefault="00D645C5" w:rsidP="00840363">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2. Ai fini del presente regolamento per “</w:t>
      </w:r>
      <w:r w:rsidR="007E0C91" w:rsidRPr="00677171">
        <w:rPr>
          <w:rFonts w:ascii="Bookman Old Style" w:hAnsi="Bookman Old Style"/>
          <w:sz w:val="26"/>
          <w:szCs w:val="26"/>
        </w:rPr>
        <w:t>Ente</w:t>
      </w:r>
      <w:r w:rsidRPr="00677171">
        <w:rPr>
          <w:rFonts w:ascii="Bookman Old Style" w:hAnsi="Bookman Old Style"/>
          <w:sz w:val="26"/>
          <w:szCs w:val="26"/>
        </w:rPr>
        <w:t xml:space="preserve">” si intende </w:t>
      </w:r>
      <w:r w:rsidR="007E0C91" w:rsidRPr="00677171">
        <w:rPr>
          <w:rFonts w:ascii="Bookman Old Style" w:hAnsi="Bookman Old Style"/>
          <w:sz w:val="26"/>
          <w:szCs w:val="26"/>
        </w:rPr>
        <w:t xml:space="preserve">il Comune </w:t>
      </w:r>
      <w:r w:rsidRPr="00677171">
        <w:rPr>
          <w:rFonts w:ascii="Bookman Old Style" w:hAnsi="Bookman Old Style"/>
          <w:sz w:val="26"/>
          <w:szCs w:val="26"/>
        </w:rPr>
        <w:t xml:space="preserve">nel caso di gestione diretta del tributo o il concessionario, nel caso di affidamento in concessione del tributo a società </w:t>
      </w:r>
      <w:r w:rsidRPr="00677171">
        <w:rPr>
          <w:rFonts w:ascii="Bookman Old Style" w:hAnsi="Bookman Old Style"/>
          <w:i/>
          <w:sz w:val="26"/>
          <w:szCs w:val="26"/>
        </w:rPr>
        <w:t>in house</w:t>
      </w:r>
      <w:r w:rsidRPr="00677171">
        <w:rPr>
          <w:rFonts w:ascii="Bookman Old Style" w:hAnsi="Bookman Old Style"/>
          <w:sz w:val="26"/>
          <w:szCs w:val="26"/>
        </w:rPr>
        <w:t xml:space="preserve"> o a soggett</w:t>
      </w:r>
      <w:r w:rsidR="00CF3CD1" w:rsidRPr="00677171">
        <w:rPr>
          <w:rFonts w:ascii="Bookman Old Style" w:hAnsi="Bookman Old Style"/>
          <w:sz w:val="26"/>
          <w:szCs w:val="26"/>
        </w:rPr>
        <w:t>o</w:t>
      </w:r>
      <w:r w:rsidRPr="00677171">
        <w:rPr>
          <w:rFonts w:ascii="Bookman Old Style" w:hAnsi="Bookman Old Style"/>
          <w:sz w:val="26"/>
          <w:szCs w:val="26"/>
        </w:rPr>
        <w:t xml:space="preserve"> iscritt</w:t>
      </w:r>
      <w:r w:rsidR="00CF3CD1" w:rsidRPr="00677171">
        <w:rPr>
          <w:rFonts w:ascii="Bookman Old Style" w:hAnsi="Bookman Old Style"/>
          <w:sz w:val="26"/>
          <w:szCs w:val="26"/>
        </w:rPr>
        <w:t>o</w:t>
      </w:r>
      <w:r w:rsidRPr="00677171">
        <w:rPr>
          <w:rFonts w:ascii="Bookman Old Style" w:hAnsi="Bookman Old Style"/>
          <w:sz w:val="26"/>
          <w:szCs w:val="26"/>
        </w:rPr>
        <w:t xml:space="preserve"> nell’albo dei concessionari, di cui all’articolo 53 del </w:t>
      </w:r>
      <w:r w:rsidR="00CF3CD1" w:rsidRPr="00677171">
        <w:rPr>
          <w:rFonts w:ascii="Bookman Old Style" w:hAnsi="Bookman Old Style"/>
          <w:sz w:val="26"/>
          <w:szCs w:val="26"/>
        </w:rPr>
        <w:t>decreto</w:t>
      </w:r>
      <w:r w:rsidRPr="00677171">
        <w:rPr>
          <w:rFonts w:ascii="Bookman Old Style" w:hAnsi="Bookman Old Style"/>
          <w:sz w:val="26"/>
          <w:szCs w:val="26"/>
        </w:rPr>
        <w:t xml:space="preserve"> legislativo 15 dicembre 1997, n. 446</w:t>
      </w:r>
      <w:r w:rsidR="00CF3CD1" w:rsidRPr="00677171">
        <w:rPr>
          <w:rStyle w:val="Rimandonotaapidipagina"/>
          <w:rFonts w:ascii="Bookman Old Style" w:hAnsi="Bookman Old Style"/>
          <w:sz w:val="26"/>
          <w:szCs w:val="26"/>
        </w:rPr>
        <w:footnoteReference w:id="1"/>
      </w:r>
      <w:r w:rsidRPr="00677171">
        <w:rPr>
          <w:rFonts w:ascii="Bookman Old Style" w:hAnsi="Bookman Old Style"/>
          <w:sz w:val="26"/>
          <w:szCs w:val="26"/>
        </w:rPr>
        <w:t>.</w:t>
      </w:r>
    </w:p>
    <w:p w14:paraId="067CECC9" w14:textId="77777777" w:rsidR="00744AE7" w:rsidRPr="00677171" w:rsidRDefault="00744AE7" w:rsidP="00840363">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 xml:space="preserve">2. Per quanto non </w:t>
      </w:r>
      <w:r w:rsidR="00FA7615" w:rsidRPr="00677171">
        <w:rPr>
          <w:rFonts w:ascii="Bookman Old Style" w:hAnsi="Bookman Old Style"/>
          <w:sz w:val="26"/>
          <w:szCs w:val="26"/>
        </w:rPr>
        <w:t xml:space="preserve">disciplinato dal presente regolamento </w:t>
      </w:r>
      <w:r w:rsidRPr="00677171">
        <w:rPr>
          <w:rFonts w:ascii="Bookman Old Style" w:hAnsi="Bookman Old Style"/>
          <w:sz w:val="26"/>
          <w:szCs w:val="26"/>
        </w:rPr>
        <w:t xml:space="preserve">si </w:t>
      </w:r>
      <w:r w:rsidR="00FA7615" w:rsidRPr="00677171">
        <w:rPr>
          <w:rFonts w:ascii="Bookman Old Style" w:hAnsi="Bookman Old Style"/>
          <w:sz w:val="26"/>
          <w:szCs w:val="26"/>
        </w:rPr>
        <w:t xml:space="preserve">applicano </w:t>
      </w:r>
      <w:r w:rsidRPr="00677171">
        <w:rPr>
          <w:rFonts w:ascii="Bookman Old Style" w:hAnsi="Bookman Old Style"/>
          <w:sz w:val="26"/>
          <w:szCs w:val="26"/>
        </w:rPr>
        <w:t>le prescrizioni di cui all’articolo 5 della legge 31 agosto 2022, n. 130.</w:t>
      </w:r>
    </w:p>
    <w:p w14:paraId="01949A6A" w14:textId="77777777" w:rsidR="00840363" w:rsidRPr="00677171" w:rsidRDefault="00840363" w:rsidP="00840363">
      <w:pPr>
        <w:pStyle w:val="Rientrocorpodeltesto"/>
        <w:spacing w:after="120" w:line="288" w:lineRule="auto"/>
        <w:rPr>
          <w:rFonts w:ascii="Bookman Old Style" w:hAnsi="Bookman Old Style"/>
          <w:sz w:val="26"/>
          <w:szCs w:val="26"/>
        </w:rPr>
      </w:pPr>
    </w:p>
    <w:p w14:paraId="3CF47B3F" w14:textId="77777777" w:rsidR="00840363" w:rsidRPr="00677171" w:rsidRDefault="00840363" w:rsidP="00840363">
      <w:pPr>
        <w:pStyle w:val="Titolo3"/>
        <w:spacing w:after="120" w:line="288" w:lineRule="auto"/>
        <w:jc w:val="left"/>
        <w:rPr>
          <w:rFonts w:ascii="Bookman Old Style" w:hAnsi="Bookman Old Style"/>
          <w:i/>
          <w:sz w:val="26"/>
          <w:szCs w:val="26"/>
        </w:rPr>
      </w:pPr>
      <w:bookmarkStart w:id="1" w:name="_Toc117505665"/>
      <w:r w:rsidRPr="00677171">
        <w:rPr>
          <w:rFonts w:ascii="Bookman Old Style" w:hAnsi="Bookman Old Style"/>
          <w:sz w:val="26"/>
          <w:szCs w:val="26"/>
        </w:rPr>
        <w:t xml:space="preserve">Articolo 2 – </w:t>
      </w:r>
      <w:r w:rsidRPr="00677171">
        <w:rPr>
          <w:rFonts w:ascii="Bookman Old Style" w:hAnsi="Bookman Old Style"/>
          <w:i/>
          <w:sz w:val="26"/>
          <w:szCs w:val="26"/>
        </w:rPr>
        <w:t>Oggetto della definizione agevolata</w:t>
      </w:r>
      <w:bookmarkEnd w:id="1"/>
      <w:r w:rsidRPr="00677171">
        <w:rPr>
          <w:rFonts w:ascii="Bookman Old Style" w:hAnsi="Bookman Old Style"/>
          <w:i/>
          <w:sz w:val="26"/>
          <w:szCs w:val="26"/>
        </w:rPr>
        <w:t xml:space="preserve"> </w:t>
      </w:r>
    </w:p>
    <w:p w14:paraId="0A28F635" w14:textId="77777777" w:rsidR="00FA7615" w:rsidRPr="00677171" w:rsidRDefault="00840363" w:rsidP="00840363">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 xml:space="preserve">1. </w:t>
      </w:r>
      <w:r w:rsidR="00FA7615" w:rsidRPr="00677171">
        <w:rPr>
          <w:rFonts w:ascii="Bookman Old Style" w:hAnsi="Bookman Old Style"/>
          <w:sz w:val="26"/>
          <w:szCs w:val="26"/>
        </w:rPr>
        <w:t>Possono essere oggetto di definizione agevolata:</w:t>
      </w:r>
    </w:p>
    <w:p w14:paraId="607A17C8" w14:textId="77777777" w:rsidR="00FA7615" w:rsidRPr="00677171" w:rsidRDefault="00FA7615" w:rsidP="00FA7615">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a) le controversie tributarie pendenti alla data del 16 settembre 2022</w:t>
      </w:r>
      <w:r w:rsidR="00B74CB9" w:rsidRPr="00677171">
        <w:rPr>
          <w:rStyle w:val="Rimandonotaapidipagina"/>
          <w:rFonts w:ascii="Bookman Old Style" w:hAnsi="Bookman Old Style"/>
          <w:sz w:val="26"/>
          <w:szCs w:val="26"/>
        </w:rPr>
        <w:footnoteReference w:id="2"/>
      </w:r>
      <w:r w:rsidRPr="00677171">
        <w:rPr>
          <w:rFonts w:ascii="Bookman Old Style" w:hAnsi="Bookman Old Style"/>
          <w:sz w:val="26"/>
          <w:szCs w:val="26"/>
        </w:rPr>
        <w:t xml:space="preserve"> innanzi alla </w:t>
      </w:r>
      <w:r w:rsidR="00675AEF" w:rsidRPr="00677171">
        <w:rPr>
          <w:rFonts w:ascii="Bookman Old Style" w:hAnsi="Bookman Old Style"/>
          <w:sz w:val="26"/>
          <w:szCs w:val="26"/>
        </w:rPr>
        <w:t>Corte di Cassazione</w:t>
      </w:r>
      <w:r w:rsidRPr="00677171">
        <w:rPr>
          <w:rFonts w:ascii="Bookman Old Style" w:hAnsi="Bookman Old Style"/>
          <w:sz w:val="26"/>
          <w:szCs w:val="26"/>
        </w:rPr>
        <w:t xml:space="preserve"> ai sensi dell'articolo 62 del decreto legislativo 31 dicembre 1992, n. 546, per le quali </w:t>
      </w:r>
      <w:r w:rsidR="007E0C91" w:rsidRPr="00677171">
        <w:rPr>
          <w:rFonts w:ascii="Bookman Old Style" w:hAnsi="Bookman Old Style"/>
          <w:sz w:val="26"/>
          <w:szCs w:val="26"/>
        </w:rPr>
        <w:t>l’Ente</w:t>
      </w:r>
      <w:r w:rsidRPr="00677171">
        <w:rPr>
          <w:rFonts w:ascii="Bookman Old Style" w:hAnsi="Bookman Old Style"/>
          <w:sz w:val="26"/>
          <w:szCs w:val="26"/>
        </w:rPr>
        <w:t xml:space="preserve"> risulti integralmente soccombente in tutti i precedenti gradi di giudizio e il valore della lite non sia superiore a 100.000 euro;</w:t>
      </w:r>
    </w:p>
    <w:p w14:paraId="46EF4D44" w14:textId="77777777" w:rsidR="00675AEF" w:rsidRPr="00677171" w:rsidRDefault="00675AEF" w:rsidP="00FA7615">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 xml:space="preserve">b) le controversie tributarie pendenti alla data del 16 settembre 2022 innanzi alla Corte di Cassazione ai sensi dell'articolo 62 del decreto legislativo 31 dicembre 1992, n. 546, per le quali </w:t>
      </w:r>
      <w:r w:rsidR="007E0C91" w:rsidRPr="00677171">
        <w:rPr>
          <w:rFonts w:ascii="Bookman Old Style" w:hAnsi="Bookman Old Style"/>
          <w:sz w:val="26"/>
          <w:szCs w:val="26"/>
        </w:rPr>
        <w:t>l’Ente</w:t>
      </w:r>
      <w:r w:rsidRPr="00677171">
        <w:rPr>
          <w:rFonts w:ascii="Bookman Old Style" w:hAnsi="Bookman Old Style"/>
          <w:sz w:val="26"/>
          <w:szCs w:val="26"/>
        </w:rPr>
        <w:t xml:space="preserve"> risulti soccombente in tutto o in parte in uno dei gradi di merito e il valore della lite non sia superiore a 50.000 euro</w:t>
      </w:r>
      <w:r w:rsidR="00B22AD3" w:rsidRPr="00677171">
        <w:rPr>
          <w:rFonts w:ascii="Bookman Old Style" w:hAnsi="Bookman Old Style"/>
          <w:sz w:val="26"/>
          <w:szCs w:val="26"/>
        </w:rPr>
        <w:t>;</w:t>
      </w:r>
    </w:p>
    <w:p w14:paraId="6573FBF9" w14:textId="48461D0E" w:rsidR="00CF42E5" w:rsidRPr="00677171" w:rsidRDefault="00B74CB9" w:rsidP="00FA7615">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lastRenderedPageBreak/>
        <w:t>2</w:t>
      </w:r>
      <w:r w:rsidR="00CF42E5" w:rsidRPr="00677171">
        <w:rPr>
          <w:rFonts w:ascii="Bookman Old Style" w:hAnsi="Bookman Old Style"/>
          <w:sz w:val="26"/>
          <w:szCs w:val="26"/>
        </w:rPr>
        <w:t>. Nel caso di pendenza di ricorso innanzi alla Corte di Cassazione ai sensi dell’articolo 62, comma 2-bis, del decreto legislativo 31 dicembre 1992, n. 546,</w:t>
      </w:r>
      <w:r w:rsidR="009E1F81" w:rsidRPr="00677171">
        <w:rPr>
          <w:rFonts w:ascii="Bookman Old Style" w:hAnsi="Bookman Old Style"/>
          <w:sz w:val="26"/>
          <w:szCs w:val="26"/>
        </w:rPr>
        <w:t xml:space="preserve"> ai fin</w:t>
      </w:r>
      <w:r w:rsidR="00842351">
        <w:rPr>
          <w:rFonts w:ascii="Bookman Old Style" w:hAnsi="Bookman Old Style"/>
          <w:sz w:val="26"/>
          <w:szCs w:val="26"/>
        </w:rPr>
        <w:t>i</w:t>
      </w:r>
      <w:r w:rsidR="009E1F81" w:rsidRPr="00677171">
        <w:rPr>
          <w:rFonts w:ascii="Bookman Old Style" w:hAnsi="Bookman Old Style"/>
          <w:sz w:val="26"/>
          <w:szCs w:val="26"/>
        </w:rPr>
        <w:t xml:space="preserve"> dell’applicazione del comma 1, lettere a) e b)</w:t>
      </w:r>
      <w:r w:rsidR="008B78A0" w:rsidRPr="00677171">
        <w:rPr>
          <w:rFonts w:ascii="Bookman Old Style" w:hAnsi="Bookman Old Style"/>
          <w:sz w:val="26"/>
          <w:szCs w:val="26"/>
        </w:rPr>
        <w:t xml:space="preserve"> e del successivo comma 8,</w:t>
      </w:r>
      <w:r w:rsidR="009E1F81" w:rsidRPr="00677171">
        <w:rPr>
          <w:rFonts w:ascii="Bookman Old Style" w:hAnsi="Bookman Old Style"/>
          <w:sz w:val="26"/>
          <w:szCs w:val="26"/>
        </w:rPr>
        <w:t xml:space="preserve"> si tiene conto dell’esito del giudizio di primo grado</w:t>
      </w:r>
      <w:r w:rsidRPr="00677171">
        <w:rPr>
          <w:rFonts w:ascii="Bookman Old Style" w:hAnsi="Bookman Old Style"/>
          <w:sz w:val="26"/>
          <w:szCs w:val="26"/>
        </w:rPr>
        <w:t>.</w:t>
      </w:r>
    </w:p>
    <w:p w14:paraId="2D966A3B" w14:textId="77777777" w:rsidR="007E0C91" w:rsidRPr="00677171" w:rsidRDefault="00B74CB9" w:rsidP="00FA7615">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3.</w:t>
      </w:r>
      <w:r w:rsidR="00675AEF" w:rsidRPr="00677171">
        <w:rPr>
          <w:rFonts w:ascii="Bookman Old Style" w:hAnsi="Bookman Old Style"/>
          <w:sz w:val="26"/>
          <w:szCs w:val="26"/>
        </w:rPr>
        <w:t xml:space="preserve"> Il valore della lite, da assumere per la definizione, è dato dall'importo dell'imposta che ha formato oggetto di contestazione in primo grado</w:t>
      </w:r>
      <w:r w:rsidR="007E0C91" w:rsidRPr="00677171">
        <w:rPr>
          <w:rStyle w:val="Rimandonotaapidipagina"/>
          <w:rFonts w:ascii="Bookman Old Style" w:hAnsi="Bookman Old Style"/>
          <w:sz w:val="26"/>
          <w:szCs w:val="26"/>
        </w:rPr>
        <w:footnoteReference w:id="3"/>
      </w:r>
      <w:r w:rsidR="00675AEF" w:rsidRPr="00677171">
        <w:rPr>
          <w:rFonts w:ascii="Bookman Old Style" w:hAnsi="Bookman Old Style"/>
          <w:sz w:val="26"/>
          <w:szCs w:val="26"/>
        </w:rPr>
        <w:t xml:space="preserve">, al netto degli interessi, delle indennità di mora e delle eventuali sanzioni collegate al tributo, comunque irrogate. In </w:t>
      </w:r>
      <w:r w:rsidR="00B22AD3" w:rsidRPr="00677171">
        <w:rPr>
          <w:rFonts w:ascii="Bookman Old Style" w:hAnsi="Bookman Old Style"/>
          <w:sz w:val="26"/>
          <w:szCs w:val="26"/>
        </w:rPr>
        <w:t>caso di liti relative all’</w:t>
      </w:r>
      <w:r w:rsidR="00675AEF" w:rsidRPr="00677171">
        <w:rPr>
          <w:rFonts w:ascii="Bookman Old Style" w:hAnsi="Bookman Old Style"/>
          <w:sz w:val="26"/>
          <w:szCs w:val="26"/>
        </w:rPr>
        <w:t xml:space="preserve">irrogazione di sanzioni </w:t>
      </w:r>
      <w:r w:rsidR="00B22AD3" w:rsidRPr="00677171">
        <w:rPr>
          <w:rFonts w:ascii="Bookman Old Style" w:hAnsi="Bookman Old Style"/>
          <w:sz w:val="26"/>
          <w:szCs w:val="26"/>
        </w:rPr>
        <w:t>il valore della lite è dato dall’ammontare delle sanzioni. Il valore della lite è determinato con riferimento ad ogni singolo atto impugnato, anche nelle ipotesi di ricorso cumulativo o collettivo</w:t>
      </w:r>
      <w:r w:rsidR="00B22AD3" w:rsidRPr="00677171">
        <w:rPr>
          <w:rStyle w:val="Rimandonotaapidipagina"/>
          <w:rFonts w:ascii="Bookman Old Style" w:hAnsi="Bookman Old Style"/>
          <w:sz w:val="26"/>
          <w:szCs w:val="26"/>
        </w:rPr>
        <w:footnoteReference w:id="4"/>
      </w:r>
      <w:r w:rsidR="007E0C91" w:rsidRPr="00677171">
        <w:rPr>
          <w:rFonts w:ascii="Bookman Old Style" w:hAnsi="Bookman Old Style"/>
          <w:sz w:val="26"/>
          <w:szCs w:val="26"/>
        </w:rPr>
        <w:t>.</w:t>
      </w:r>
    </w:p>
    <w:p w14:paraId="7E762D0D" w14:textId="77777777" w:rsidR="00B74CB9" w:rsidRPr="00677171" w:rsidRDefault="00B74CB9" w:rsidP="00FA7615">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4. Le controversie di cui al comma 1, lettera a) possono essere definite a domanda del soggetto che ha proposto l’atto introduttivo del giudizio o di chi vi è subentrato o ne ha la legittimazione, previo pagamento di un importo pari al 5 per cento del valore della controversia, determinato ai sensi del precedente comma 3.</w:t>
      </w:r>
    </w:p>
    <w:p w14:paraId="16AB40D7" w14:textId="77777777" w:rsidR="00B74CB9" w:rsidRPr="00677171" w:rsidRDefault="00B74CB9" w:rsidP="00FA7615">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5. Le controversie di cui al comma 1, lettera b) possono essere definite a domanda del soggetto che ha proposto l’atto introduttivo del giudizio o di chi vi è subentrato o ne ha la legittimazione, previo pagamento di un importo pari al 20 per cento del valore della controversia, determinato ai sensi del precedente comma 3.</w:t>
      </w:r>
    </w:p>
    <w:p w14:paraId="42E327FC" w14:textId="12325DEE" w:rsidR="00B74CB9" w:rsidRPr="00677171" w:rsidRDefault="00B74CB9" w:rsidP="00B74CB9">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6. L'adesione alla definizione agevolata delle controversie tributarie di cui al comma 1 comporta la contestuale rinuncia ad ogni eventuale pretesa di equa riparazione ai sensi della legge 24 marzo 2001, n. 89. In ogni caso</w:t>
      </w:r>
      <w:r w:rsidR="00EE2E1C">
        <w:rPr>
          <w:rFonts w:ascii="Bookman Old Style" w:hAnsi="Bookman Old Style"/>
          <w:sz w:val="26"/>
          <w:szCs w:val="26"/>
        </w:rPr>
        <w:t>,</w:t>
      </w:r>
      <w:r w:rsidRPr="00677171">
        <w:rPr>
          <w:rFonts w:ascii="Bookman Old Style" w:hAnsi="Bookman Old Style"/>
          <w:sz w:val="26"/>
          <w:szCs w:val="26"/>
        </w:rPr>
        <w:t xml:space="preserve"> le spese del giudizio</w:t>
      </w:r>
      <w:r w:rsidR="000869D9" w:rsidRPr="00677171">
        <w:rPr>
          <w:rFonts w:ascii="Bookman Old Style" w:hAnsi="Bookman Old Style"/>
          <w:sz w:val="26"/>
          <w:szCs w:val="26"/>
        </w:rPr>
        <w:t xml:space="preserve"> definito </w:t>
      </w:r>
      <w:r w:rsidRPr="00677171">
        <w:rPr>
          <w:rFonts w:ascii="Bookman Old Style" w:hAnsi="Bookman Old Style"/>
          <w:sz w:val="26"/>
          <w:szCs w:val="26"/>
        </w:rPr>
        <w:t>restano a carico della parte che le ha anticipate.</w:t>
      </w:r>
    </w:p>
    <w:p w14:paraId="1F81CB03" w14:textId="77777777" w:rsidR="00652D8D" w:rsidRPr="00677171" w:rsidRDefault="00652D8D" w:rsidP="00B74CB9">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7. La definizione perfezionata dal coobbligato giova in favore degli altri, inclusi quelli per i quali la controversia non sia più pendente, fatte salve le disposizioni del secondo periodo del comma 2, dell’articolo 3, del presente regolamento.</w:t>
      </w:r>
    </w:p>
    <w:p w14:paraId="5155EB1C" w14:textId="0DEE6501" w:rsidR="001E60C7" w:rsidRPr="00677171" w:rsidRDefault="001E60C7" w:rsidP="00B74CB9">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8. In caso di totale soccombenza del contribuente in entrambi i gradi di giudizio</w:t>
      </w:r>
      <w:r w:rsidR="00A54AB0">
        <w:rPr>
          <w:rFonts w:ascii="Bookman Old Style" w:hAnsi="Bookman Old Style"/>
          <w:sz w:val="26"/>
          <w:szCs w:val="26"/>
        </w:rPr>
        <w:t>,</w:t>
      </w:r>
      <w:r w:rsidRPr="00677171">
        <w:rPr>
          <w:rFonts w:ascii="Bookman Old Style" w:hAnsi="Bookman Old Style"/>
          <w:sz w:val="26"/>
          <w:szCs w:val="26"/>
        </w:rPr>
        <w:t xml:space="preserve"> non è prevista la possibilità di definizione.</w:t>
      </w:r>
    </w:p>
    <w:p w14:paraId="682973C6" w14:textId="77777777" w:rsidR="00B74CB9" w:rsidRPr="00677171" w:rsidRDefault="00B74CB9" w:rsidP="00FA7615">
      <w:pPr>
        <w:pStyle w:val="Rientrocorpodeltesto"/>
        <w:spacing w:after="120" w:line="288" w:lineRule="auto"/>
        <w:rPr>
          <w:rFonts w:ascii="Bookman Old Style" w:hAnsi="Bookman Old Style"/>
          <w:sz w:val="26"/>
          <w:szCs w:val="26"/>
        </w:rPr>
      </w:pPr>
    </w:p>
    <w:p w14:paraId="194B74A2" w14:textId="77777777" w:rsidR="00F67B2B" w:rsidRPr="00677171" w:rsidRDefault="00F67B2B" w:rsidP="00F67B2B">
      <w:pPr>
        <w:pStyle w:val="Titolo3"/>
        <w:spacing w:after="120" w:line="288" w:lineRule="auto"/>
        <w:jc w:val="left"/>
        <w:rPr>
          <w:rFonts w:ascii="Bookman Old Style" w:hAnsi="Bookman Old Style"/>
          <w:i/>
          <w:sz w:val="26"/>
          <w:szCs w:val="26"/>
        </w:rPr>
      </w:pPr>
      <w:bookmarkStart w:id="2" w:name="_Toc117505666"/>
      <w:r w:rsidRPr="00677171">
        <w:rPr>
          <w:rFonts w:ascii="Bookman Old Style" w:hAnsi="Bookman Old Style"/>
          <w:sz w:val="26"/>
          <w:szCs w:val="26"/>
        </w:rPr>
        <w:t xml:space="preserve">Articolo 3 – </w:t>
      </w:r>
      <w:r w:rsidRPr="00677171">
        <w:rPr>
          <w:rFonts w:ascii="Bookman Old Style" w:hAnsi="Bookman Old Style"/>
          <w:i/>
          <w:sz w:val="26"/>
          <w:szCs w:val="26"/>
        </w:rPr>
        <w:t xml:space="preserve">Presentazione della domanda </w:t>
      </w:r>
      <w:r w:rsidR="00E81811" w:rsidRPr="00677171">
        <w:rPr>
          <w:rFonts w:ascii="Bookman Old Style" w:hAnsi="Bookman Old Style"/>
          <w:i/>
          <w:sz w:val="26"/>
          <w:szCs w:val="26"/>
        </w:rPr>
        <w:t>e versamento</w:t>
      </w:r>
      <w:bookmarkEnd w:id="2"/>
    </w:p>
    <w:p w14:paraId="7EC62E6F" w14:textId="7BDF9776" w:rsidR="00E81811" w:rsidRPr="00677171" w:rsidRDefault="00F67B2B" w:rsidP="00E81811">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 xml:space="preserve">1. </w:t>
      </w:r>
      <w:r w:rsidR="00E81811" w:rsidRPr="00677171">
        <w:rPr>
          <w:rFonts w:ascii="Bookman Old Style" w:hAnsi="Bookman Old Style"/>
          <w:sz w:val="26"/>
          <w:szCs w:val="26"/>
        </w:rPr>
        <w:t>La definizione si perfeziona con la presentazione della domanda di cui al comma 2</w:t>
      </w:r>
      <w:r w:rsidR="00A54AB0">
        <w:rPr>
          <w:rFonts w:ascii="Bookman Old Style" w:hAnsi="Bookman Old Style"/>
          <w:sz w:val="26"/>
          <w:szCs w:val="26"/>
        </w:rPr>
        <w:t>,</w:t>
      </w:r>
      <w:r w:rsidR="00E81811" w:rsidRPr="00677171">
        <w:rPr>
          <w:rFonts w:ascii="Bookman Old Style" w:hAnsi="Bookman Old Style"/>
          <w:sz w:val="26"/>
          <w:szCs w:val="26"/>
        </w:rPr>
        <w:t xml:space="preserve"> entro centoventi giorni dalla data di entrata in vigore del presente regolamento e con il pagamento</w:t>
      </w:r>
      <w:r w:rsidR="008B78A0" w:rsidRPr="00677171">
        <w:rPr>
          <w:rFonts w:ascii="Bookman Old Style" w:hAnsi="Bookman Old Style"/>
          <w:sz w:val="26"/>
          <w:szCs w:val="26"/>
        </w:rPr>
        <w:t>, in un’unica soluzione,</w:t>
      </w:r>
      <w:r w:rsidR="00E81811" w:rsidRPr="00677171">
        <w:rPr>
          <w:rFonts w:ascii="Bookman Old Style" w:hAnsi="Bookman Old Style"/>
          <w:sz w:val="26"/>
          <w:szCs w:val="26"/>
        </w:rPr>
        <w:t xml:space="preserve"> degli importi dovuti. Qualora non ci siano importi da versare, la definizione si perfeziona con la sola presentazione della domanda.</w:t>
      </w:r>
    </w:p>
    <w:p w14:paraId="13F05263" w14:textId="77777777" w:rsidR="00E81811" w:rsidRPr="00677171" w:rsidRDefault="00E81811" w:rsidP="00E81811">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2. Entro il termine di cui al comma 1, per ciascuna controversia autonoma è presentata una distinta domanda di definizione</w:t>
      </w:r>
      <w:r w:rsidR="000869D9" w:rsidRPr="00677171">
        <w:rPr>
          <w:rFonts w:ascii="Bookman Old Style" w:hAnsi="Bookman Old Style"/>
          <w:sz w:val="26"/>
          <w:szCs w:val="26"/>
        </w:rPr>
        <w:t>,</w:t>
      </w:r>
      <w:r w:rsidRPr="00677171">
        <w:rPr>
          <w:rFonts w:ascii="Bookman Old Style" w:hAnsi="Bookman Old Style"/>
          <w:sz w:val="26"/>
          <w:szCs w:val="26"/>
        </w:rPr>
        <w:t xml:space="preserve"> esente dall'imposta di bollo</w:t>
      </w:r>
      <w:r w:rsidR="000869D9" w:rsidRPr="00677171">
        <w:rPr>
          <w:rFonts w:ascii="Bookman Old Style" w:hAnsi="Bookman Old Style"/>
          <w:sz w:val="26"/>
          <w:szCs w:val="26"/>
        </w:rPr>
        <w:t>,</w:t>
      </w:r>
      <w:r w:rsidRPr="00677171">
        <w:rPr>
          <w:rFonts w:ascii="Bookman Old Style" w:hAnsi="Bookman Old Style"/>
          <w:sz w:val="26"/>
          <w:szCs w:val="26"/>
        </w:rPr>
        <w:t xml:space="preserve"> ed è effettuato un distinto versamento. Per controversia autonoma si intende quella relativa a ciascun atto impugnato.</w:t>
      </w:r>
      <w:r w:rsidR="00652D8D" w:rsidRPr="00677171">
        <w:rPr>
          <w:rFonts w:ascii="Bookman Old Style" w:hAnsi="Bookman Old Style"/>
          <w:sz w:val="26"/>
          <w:szCs w:val="26"/>
        </w:rPr>
        <w:t xml:space="preserve"> </w:t>
      </w:r>
    </w:p>
    <w:p w14:paraId="05954F66" w14:textId="77777777" w:rsidR="001E60C7" w:rsidRPr="00677171" w:rsidRDefault="001E60C7" w:rsidP="001E60C7">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 xml:space="preserve">3. Il Comune predispone apposito modello di domanda per la definizione delle controversie, la quale dovrà essere presentata all’Ente tramite invio all’indirizzo di posta elettronica certificata (PEC) indicata nella comparsa di risposta di primo grado, o altro indirizzo individuato </w:t>
      </w:r>
      <w:r w:rsidR="008B78A0" w:rsidRPr="00677171">
        <w:rPr>
          <w:rFonts w:ascii="Bookman Old Style" w:hAnsi="Bookman Old Style"/>
          <w:sz w:val="26"/>
          <w:szCs w:val="26"/>
        </w:rPr>
        <w:t xml:space="preserve">nel modello stesso di domanda. Il modello di domanda verrà reso disponibile dall’Ente sul proprio sito internet. </w:t>
      </w:r>
      <w:r w:rsidRPr="00677171">
        <w:rPr>
          <w:rFonts w:ascii="Bookman Old Style" w:hAnsi="Bookman Old Style"/>
          <w:sz w:val="26"/>
          <w:szCs w:val="26"/>
        </w:rPr>
        <w:t>Unitamente alla domanda dovranno essere trasmessi copia di un documento di identità del firmatario dell’istanza e la quietanza del versamento effettuato.</w:t>
      </w:r>
    </w:p>
    <w:p w14:paraId="4C13AEB5" w14:textId="77777777" w:rsidR="008B78A0" w:rsidRPr="00677171" w:rsidRDefault="008B78A0" w:rsidP="00840363">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4</w:t>
      </w:r>
      <w:r w:rsidR="00E81811" w:rsidRPr="00677171">
        <w:rPr>
          <w:rFonts w:ascii="Bookman Old Style" w:hAnsi="Bookman Old Style"/>
          <w:sz w:val="26"/>
          <w:szCs w:val="26"/>
        </w:rPr>
        <w:t xml:space="preserve">. Ai fini della definizione delle controversie si tiene conto di eventuali versamenti già effettuati a qualsiasi titolo in pendenza di giudizio, fermo restando il rispetto delle percentuali stabilite nell’articolo 2, commi 4 e 5. La definizione non dà comunque luogo alla restituzione delle somme già versate ancorché eccedenti rispetto a quanto dovuto per la definizione stessa. </w:t>
      </w:r>
    </w:p>
    <w:p w14:paraId="2A222781" w14:textId="77777777" w:rsidR="00744AE7" w:rsidRPr="00677171" w:rsidRDefault="008B78A0" w:rsidP="00840363">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 xml:space="preserve">5. </w:t>
      </w:r>
      <w:r w:rsidR="00E81811" w:rsidRPr="00677171">
        <w:rPr>
          <w:rFonts w:ascii="Bookman Old Style" w:hAnsi="Bookman Old Style"/>
          <w:sz w:val="26"/>
          <w:szCs w:val="26"/>
        </w:rPr>
        <w:t>Gli effetti della definizione perfezionata prevalgono su quelli delle eventuali pronunce giurisdizionali non passate in giudicato anteriormente alla data di entrata in vigore del presente regolamento, ivi comprese le statuizioni sulle spese di lite.</w:t>
      </w:r>
    </w:p>
    <w:p w14:paraId="7B5239DB" w14:textId="77777777" w:rsidR="00744AE7" w:rsidRPr="00677171" w:rsidRDefault="00744AE7" w:rsidP="00840363">
      <w:pPr>
        <w:pStyle w:val="Rientrocorpodeltesto"/>
        <w:spacing w:after="120" w:line="288" w:lineRule="auto"/>
        <w:rPr>
          <w:rFonts w:ascii="Bookman Old Style" w:hAnsi="Bookman Old Style"/>
          <w:sz w:val="26"/>
          <w:szCs w:val="26"/>
        </w:rPr>
      </w:pPr>
    </w:p>
    <w:p w14:paraId="1C827707" w14:textId="387F7CC5" w:rsidR="003E02AB" w:rsidRPr="00677171" w:rsidRDefault="003E02AB" w:rsidP="003E02AB">
      <w:pPr>
        <w:pStyle w:val="Titolo3"/>
        <w:spacing w:after="120" w:line="288" w:lineRule="auto"/>
        <w:jc w:val="left"/>
        <w:rPr>
          <w:rFonts w:ascii="Bookman Old Style" w:hAnsi="Bookman Old Style"/>
          <w:i/>
          <w:sz w:val="26"/>
          <w:szCs w:val="26"/>
        </w:rPr>
      </w:pPr>
      <w:bookmarkStart w:id="3" w:name="_Toc117505667"/>
      <w:r w:rsidRPr="00677171">
        <w:rPr>
          <w:rFonts w:ascii="Bookman Old Style" w:hAnsi="Bookman Old Style"/>
          <w:sz w:val="26"/>
          <w:szCs w:val="26"/>
        </w:rPr>
        <w:t xml:space="preserve">Articolo 4 – </w:t>
      </w:r>
      <w:r w:rsidRPr="00677171">
        <w:rPr>
          <w:rFonts w:ascii="Bookman Old Style" w:hAnsi="Bookman Old Style"/>
          <w:i/>
          <w:sz w:val="26"/>
          <w:szCs w:val="26"/>
        </w:rPr>
        <w:t>Sospensione del processo</w:t>
      </w:r>
      <w:r w:rsidR="00CE7F94">
        <w:rPr>
          <w:rFonts w:ascii="Bookman Old Style" w:hAnsi="Bookman Old Style"/>
          <w:i/>
          <w:sz w:val="26"/>
          <w:szCs w:val="26"/>
        </w:rPr>
        <w:t xml:space="preserve"> e</w:t>
      </w:r>
      <w:r w:rsidR="00B2696C">
        <w:rPr>
          <w:rFonts w:ascii="Bookman Old Style" w:hAnsi="Bookman Old Style"/>
          <w:i/>
          <w:sz w:val="26"/>
          <w:szCs w:val="26"/>
        </w:rPr>
        <w:t xml:space="preserve"> </w:t>
      </w:r>
      <w:r w:rsidRPr="00677171">
        <w:rPr>
          <w:rFonts w:ascii="Bookman Old Style" w:hAnsi="Bookman Old Style"/>
          <w:i/>
          <w:sz w:val="26"/>
          <w:szCs w:val="26"/>
        </w:rPr>
        <w:t>diniego della definizione</w:t>
      </w:r>
      <w:bookmarkEnd w:id="3"/>
      <w:r w:rsidR="008A1A36">
        <w:rPr>
          <w:rFonts w:ascii="Bookman Old Style" w:hAnsi="Bookman Old Style"/>
          <w:i/>
          <w:sz w:val="26"/>
          <w:szCs w:val="26"/>
        </w:rPr>
        <w:t xml:space="preserve"> </w:t>
      </w:r>
    </w:p>
    <w:p w14:paraId="541D13BF" w14:textId="77777777" w:rsidR="003E02AB" w:rsidRPr="00677171" w:rsidRDefault="003E02AB" w:rsidP="003E02AB">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1. Le controversie definibili non sono sospese, salvo che il contribuente faccia apposita richiesta al giudice, dichiarando di volersi avvalere delle disposizioni di cui al presente regolamento. In tal caso il processo è sospeso fino alla scadenza del termine di cui all’articolo 3, comma 1</w:t>
      </w:r>
      <w:r w:rsidR="00652D8D" w:rsidRPr="00677171">
        <w:rPr>
          <w:rFonts w:ascii="Bookman Old Style" w:hAnsi="Bookman Old Style"/>
          <w:sz w:val="26"/>
          <w:szCs w:val="26"/>
        </w:rPr>
        <w:t>, del presente regolamento.</w:t>
      </w:r>
    </w:p>
    <w:p w14:paraId="7A8B55CF" w14:textId="1961D3EC" w:rsidR="003E02AB" w:rsidRPr="00677171" w:rsidRDefault="003E02AB" w:rsidP="003E02AB">
      <w:pPr>
        <w:pStyle w:val="Rientrocorpodeltesto"/>
        <w:spacing w:after="120" w:line="288" w:lineRule="auto"/>
        <w:rPr>
          <w:rFonts w:ascii="Bookman Old Style" w:hAnsi="Bookman Old Style"/>
          <w:sz w:val="26"/>
          <w:szCs w:val="26"/>
        </w:rPr>
      </w:pPr>
      <w:r w:rsidRPr="00677171">
        <w:rPr>
          <w:rFonts w:ascii="Bookman Old Style" w:hAnsi="Bookman Old Style"/>
          <w:sz w:val="26"/>
          <w:szCs w:val="26"/>
        </w:rPr>
        <w:t>2. L'eventuale diniego della definizione va notificato</w:t>
      </w:r>
      <w:r w:rsidR="00C508BD" w:rsidRPr="00677171">
        <w:rPr>
          <w:rFonts w:ascii="Bookman Old Style" w:hAnsi="Bookman Old Style"/>
          <w:sz w:val="26"/>
          <w:szCs w:val="26"/>
        </w:rPr>
        <w:t xml:space="preserve"> dall’Ente</w:t>
      </w:r>
      <w:r w:rsidRPr="00677171">
        <w:rPr>
          <w:rFonts w:ascii="Bookman Old Style" w:hAnsi="Bookman Old Style"/>
          <w:sz w:val="26"/>
          <w:szCs w:val="26"/>
        </w:rPr>
        <w:t xml:space="preserve"> </w:t>
      </w:r>
      <w:r w:rsidR="00C47BA5">
        <w:rPr>
          <w:rFonts w:ascii="Bookman Old Style" w:hAnsi="Bookman Old Style"/>
          <w:sz w:val="26"/>
          <w:szCs w:val="26"/>
        </w:rPr>
        <w:t xml:space="preserve">al soggetto </w:t>
      </w:r>
      <w:r w:rsidR="008556B8">
        <w:rPr>
          <w:rFonts w:ascii="Bookman Old Style" w:hAnsi="Bookman Old Style"/>
          <w:sz w:val="26"/>
          <w:szCs w:val="26"/>
        </w:rPr>
        <w:t xml:space="preserve">di cui all’articolo 2, comma 4 del presente regolamento, </w:t>
      </w:r>
      <w:r w:rsidRPr="00677171">
        <w:rPr>
          <w:rFonts w:ascii="Bookman Old Style" w:hAnsi="Bookman Old Style"/>
          <w:sz w:val="26"/>
          <w:szCs w:val="26"/>
        </w:rPr>
        <w:t>entro trenta giorni con le modalità previste per la notificazione degli atti processuali. Il diniego è impugnabile entro sessanta giorni dinanzi alla Corte di Cassazione</w:t>
      </w:r>
      <w:r w:rsidR="00652D8D" w:rsidRPr="00677171">
        <w:rPr>
          <w:rFonts w:ascii="Bookman Old Style" w:hAnsi="Bookman Old Style"/>
          <w:sz w:val="26"/>
          <w:szCs w:val="26"/>
        </w:rPr>
        <w:t>, ai sensi dell’articolo 5, comma 11, della legge 31 agosto 2022, n. 130.</w:t>
      </w:r>
    </w:p>
    <w:p w14:paraId="4E67D4B8" w14:textId="526B763C" w:rsidR="003E02AB" w:rsidRPr="00677171" w:rsidRDefault="00804AA7" w:rsidP="00840363">
      <w:pPr>
        <w:pStyle w:val="Rientrocorpodeltesto"/>
        <w:spacing w:after="120" w:line="288" w:lineRule="auto"/>
        <w:rPr>
          <w:rFonts w:ascii="Bookman Old Style" w:hAnsi="Bookman Old Style"/>
          <w:sz w:val="26"/>
          <w:szCs w:val="26"/>
        </w:rPr>
      </w:pPr>
      <w:r w:rsidRPr="003D50F1">
        <w:rPr>
          <w:rFonts w:ascii="Bookman Old Style" w:hAnsi="Bookman Old Style"/>
          <w:sz w:val="26"/>
          <w:szCs w:val="26"/>
        </w:rPr>
        <w:t>3</w:t>
      </w:r>
      <w:r w:rsidR="003E02AB" w:rsidRPr="003D50F1">
        <w:rPr>
          <w:rFonts w:ascii="Bookman Old Style" w:hAnsi="Bookman Old Style"/>
          <w:sz w:val="26"/>
          <w:szCs w:val="26"/>
        </w:rPr>
        <w:t xml:space="preserve">. </w:t>
      </w:r>
      <w:r w:rsidR="00652D8D" w:rsidRPr="003D50F1">
        <w:rPr>
          <w:rFonts w:ascii="Bookman Old Style" w:hAnsi="Bookman Old Style"/>
          <w:sz w:val="26"/>
          <w:szCs w:val="26"/>
        </w:rPr>
        <w:t xml:space="preserve">Ai sensi dell’articolo 5, comma 12, della legge 31 agosto 2022, n. 130, in mancanza di istanza di trattazione presentata dalla parte interessata, entro due mesi decorrenti dalla scadenza del termine di cui all’articolo 3, comma 1 del presente regolamento, il processo è dichiarato estinto, con decreto del </w:t>
      </w:r>
      <w:r w:rsidR="00F11C30">
        <w:rPr>
          <w:rFonts w:ascii="Bookman Old Style" w:hAnsi="Bookman Old Style"/>
          <w:sz w:val="26"/>
          <w:szCs w:val="26"/>
        </w:rPr>
        <w:t>p</w:t>
      </w:r>
      <w:r w:rsidR="00652D8D" w:rsidRPr="003D50F1">
        <w:rPr>
          <w:rFonts w:ascii="Bookman Old Style" w:hAnsi="Bookman Old Style"/>
          <w:sz w:val="26"/>
          <w:szCs w:val="26"/>
        </w:rPr>
        <w:t>residente. L'impugnazione del diniego vale anche come istanza di trattazione.</w:t>
      </w:r>
    </w:p>
    <w:p w14:paraId="00586DB1" w14:textId="77777777" w:rsidR="003E02AB" w:rsidRPr="00677171" w:rsidRDefault="003E02AB" w:rsidP="00840363">
      <w:pPr>
        <w:pStyle w:val="Rientrocorpodeltesto"/>
        <w:spacing w:after="120" w:line="288" w:lineRule="auto"/>
        <w:rPr>
          <w:rFonts w:ascii="Bookman Old Style" w:hAnsi="Bookman Old Style"/>
          <w:sz w:val="26"/>
          <w:szCs w:val="26"/>
        </w:rPr>
      </w:pPr>
    </w:p>
    <w:p w14:paraId="5B74C06B" w14:textId="77777777" w:rsidR="003E02AB" w:rsidRPr="00677171" w:rsidRDefault="003E02AB" w:rsidP="00840363">
      <w:pPr>
        <w:pStyle w:val="Rientrocorpodeltesto"/>
        <w:spacing w:after="120" w:line="288" w:lineRule="auto"/>
        <w:rPr>
          <w:rFonts w:ascii="Bookman Old Style" w:hAnsi="Bookman Old Style"/>
          <w:sz w:val="26"/>
          <w:szCs w:val="26"/>
        </w:rPr>
      </w:pPr>
    </w:p>
    <w:sectPr w:rsidR="003E02AB" w:rsidRPr="00677171" w:rsidSect="00744AE7">
      <w:headerReference w:type="default" r:id="rId6"/>
      <w:footerReference w:type="default" r:id="rId7"/>
      <w:pgSz w:w="11906" w:h="16838"/>
      <w:pgMar w:top="2410" w:right="1134" w:bottom="141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E2AA" w14:textId="77777777" w:rsidR="007F56B2" w:rsidRDefault="007F56B2" w:rsidP="00744AE7">
      <w:r>
        <w:separator/>
      </w:r>
    </w:p>
  </w:endnote>
  <w:endnote w:type="continuationSeparator" w:id="0">
    <w:p w14:paraId="0AA54594" w14:textId="77777777" w:rsidR="007F56B2" w:rsidRDefault="007F56B2" w:rsidP="007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551" w14:textId="77777777" w:rsidR="00F70E4C" w:rsidRDefault="00840363">
    <w:pPr>
      <w:pStyle w:val="Pidipagina"/>
    </w:pPr>
    <w:r>
      <w:rPr>
        <w:noProof/>
      </w:rPr>
      <mc:AlternateContent>
        <mc:Choice Requires="wps">
          <w:drawing>
            <wp:anchor distT="0" distB="0" distL="114300" distR="114300" simplePos="0" relativeHeight="251659264" behindDoc="0" locked="0" layoutInCell="1" allowOverlap="1" wp14:anchorId="585A07FD" wp14:editId="10F1514D">
              <wp:simplePos x="0" y="0"/>
              <wp:positionH relativeFrom="page">
                <wp:posOffset>6917690</wp:posOffset>
              </wp:positionH>
              <wp:positionV relativeFrom="page">
                <wp:posOffset>10236200</wp:posOffset>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B67AF2" w14:textId="77777777" w:rsidR="00F70E4C" w:rsidRPr="00483B30" w:rsidRDefault="00BF24AF" w:rsidP="00483B30">
                          <w:pPr>
                            <w:pBdr>
                              <w:top w:val="single" w:sz="4" w:space="1" w:color="7F7F7F"/>
                            </w:pBdr>
                            <w:jc w:val="center"/>
                            <w:rPr>
                              <w:color w:val="C0504D"/>
                            </w:rPr>
                          </w:pPr>
                          <w:r w:rsidRPr="00483B30">
                            <w:fldChar w:fldCharType="begin"/>
                          </w:r>
                          <w:r>
                            <w:instrText>PAGE   \* MERGEFORMAT</w:instrText>
                          </w:r>
                          <w:r w:rsidRPr="00483B30">
                            <w:fldChar w:fldCharType="separate"/>
                          </w:r>
                          <w:r w:rsidR="00416129" w:rsidRPr="00416129">
                            <w:rPr>
                              <w:noProof/>
                              <w:color w:val="C0504D"/>
                            </w:rPr>
                            <w:t>3</w:t>
                          </w:r>
                          <w:r w:rsidRPr="00483B3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5A07FD" id="Rettangolo 650" o:spid="_x0000_s1026"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" filled="f" fillcolor="#c0504d" stroked="f" strokecolor="#5c83b4" strokeweight="2.25pt">
              <v:textbox inset=",0,,0">
                <w:txbxContent>
                  <w:p w14:paraId="53B67AF2" w14:textId="77777777" w:rsidR="00F70E4C" w:rsidRPr="00483B30" w:rsidRDefault="00BF24AF" w:rsidP="00483B30">
                    <w:pPr>
                      <w:pBdr>
                        <w:top w:val="single" w:sz="4" w:space="1" w:color="7F7F7F"/>
                      </w:pBdr>
                      <w:jc w:val="center"/>
                      <w:rPr>
                        <w:color w:val="C0504D"/>
                      </w:rPr>
                    </w:pPr>
                    <w:r w:rsidRPr="00483B30">
                      <w:fldChar w:fldCharType="begin"/>
                    </w:r>
                    <w:r>
                      <w:instrText>PAGE   \* MERGEFORMAT</w:instrText>
                    </w:r>
                    <w:r w:rsidRPr="00483B30">
                      <w:fldChar w:fldCharType="separate"/>
                    </w:r>
                    <w:r w:rsidR="00416129" w:rsidRPr="00416129">
                      <w:rPr>
                        <w:noProof/>
                        <w:color w:val="C0504D"/>
                      </w:rPr>
                      <w:t>3</w:t>
                    </w:r>
                    <w:r w:rsidRPr="00483B30">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0148" w14:textId="77777777" w:rsidR="007F56B2" w:rsidRDefault="007F56B2" w:rsidP="00744AE7">
      <w:r>
        <w:separator/>
      </w:r>
    </w:p>
  </w:footnote>
  <w:footnote w:type="continuationSeparator" w:id="0">
    <w:p w14:paraId="16A7807F" w14:textId="77777777" w:rsidR="007F56B2" w:rsidRDefault="007F56B2" w:rsidP="00744AE7">
      <w:r>
        <w:continuationSeparator/>
      </w:r>
    </w:p>
  </w:footnote>
  <w:footnote w:id="1">
    <w:p w14:paraId="14C8A907" w14:textId="77777777" w:rsidR="00CF3CD1" w:rsidRPr="00B22AD3" w:rsidRDefault="00CF3CD1" w:rsidP="00B22AD3">
      <w:pPr>
        <w:pStyle w:val="Testonotaapidipagina"/>
        <w:jc w:val="both"/>
        <w:rPr>
          <w:rFonts w:ascii="Garamond" w:hAnsi="Garamond"/>
        </w:rPr>
      </w:pPr>
      <w:r w:rsidRPr="00CF3CD1">
        <w:rPr>
          <w:rStyle w:val="Rimandonotaapidipagina"/>
          <w:rFonts w:ascii="Garamond" w:hAnsi="Garamond"/>
        </w:rPr>
        <w:footnoteRef/>
      </w:r>
      <w:r w:rsidRPr="00CF3CD1">
        <w:rPr>
          <w:rFonts w:ascii="Garamond" w:hAnsi="Garamond"/>
        </w:rPr>
        <w:t xml:space="preserve"> </w:t>
      </w:r>
      <w:r>
        <w:rPr>
          <w:rFonts w:ascii="Garamond" w:hAnsi="Garamond"/>
        </w:rPr>
        <w:t xml:space="preserve">Nel caso di affidamento in concessione, il soggetto legittimato a stare in giudizio è il concessionario stesso, e non il </w:t>
      </w:r>
      <w:r w:rsidRPr="00B22AD3">
        <w:rPr>
          <w:rFonts w:ascii="Garamond" w:hAnsi="Garamond"/>
        </w:rPr>
        <w:t>Comune. Tra le tante, Cass. nn. 15408/2022, 13633/2020 e 11516/2018.</w:t>
      </w:r>
    </w:p>
  </w:footnote>
  <w:footnote w:id="2">
    <w:p w14:paraId="710931E7" w14:textId="77777777" w:rsidR="00B74CB9" w:rsidRDefault="00B74CB9" w:rsidP="00B74CB9">
      <w:pPr>
        <w:pStyle w:val="Testonotaapidipagina"/>
        <w:jc w:val="both"/>
      </w:pPr>
      <w:r>
        <w:rPr>
          <w:rStyle w:val="Rimandonotaapidipagina"/>
        </w:rPr>
        <w:footnoteRef/>
      </w:r>
      <w:r>
        <w:t xml:space="preserve"> </w:t>
      </w:r>
      <w:r w:rsidRPr="00B74CB9">
        <w:rPr>
          <w:rFonts w:ascii="Garamond" w:hAnsi="Garamond"/>
        </w:rPr>
        <w:t>Conseguentemente non possono essere definitive le controversie per le quali alla data del 16 settembre 2022 pendeva il termine per la proposizione del ricorso, senza che questo sia stato notificato all’Ente.</w:t>
      </w:r>
    </w:p>
  </w:footnote>
  <w:footnote w:id="3">
    <w:p w14:paraId="08CC6C3F" w14:textId="77777777" w:rsidR="007E0C91" w:rsidRPr="00CF42E5" w:rsidRDefault="007E0C91" w:rsidP="00CF42E5">
      <w:pPr>
        <w:pStyle w:val="Testonotaapidipagina"/>
        <w:jc w:val="both"/>
        <w:rPr>
          <w:rFonts w:ascii="Garamond" w:hAnsi="Garamond"/>
        </w:rPr>
      </w:pPr>
      <w:r w:rsidRPr="00CF42E5">
        <w:rPr>
          <w:rStyle w:val="Rimandonotaapidipagina"/>
          <w:rFonts w:ascii="Garamond" w:hAnsi="Garamond"/>
        </w:rPr>
        <w:footnoteRef/>
      </w:r>
      <w:r w:rsidRPr="00CF42E5">
        <w:rPr>
          <w:rFonts w:ascii="Garamond" w:hAnsi="Garamond"/>
        </w:rPr>
        <w:t xml:space="preserve"> Si precisa che l’importo della lite non corrisponde sempre all’ammontare dell’imposta, o delle sanzioni nel caso di impugnazione dell’atto di irrogazione delle sanzioni, </w:t>
      </w:r>
      <w:r w:rsidR="00CF42E5" w:rsidRPr="00CF42E5">
        <w:rPr>
          <w:rFonts w:ascii="Garamond" w:hAnsi="Garamond"/>
        </w:rPr>
        <w:t>pretesa con l’accertamento tributario, in quanto occorre tener conto dell’importo effettivo in contestazione, nel caso di impugnazioni parziali, o di rideterminazione parziale della pretesa nel caso di rettifica dell’atto di accertamento. Inoltre, il valore della lite deve essere calcolato con riferimento alla lite pendente, e quindi non occorre considerare gli importi coperti da giudicato interno, od oggetto di accordo di mediazione o di conciliazione giudiziale che non hanno riguardato l’intera pretesa avanzata dall’Ente.</w:t>
      </w:r>
    </w:p>
  </w:footnote>
  <w:footnote w:id="4">
    <w:p w14:paraId="25617425" w14:textId="77777777" w:rsidR="00B22AD3" w:rsidRDefault="00B22AD3" w:rsidP="00B22AD3">
      <w:pPr>
        <w:pStyle w:val="Testonotaapidipagina"/>
        <w:jc w:val="both"/>
        <w:rPr>
          <w:rFonts w:ascii="Garamond" w:hAnsi="Garamond"/>
        </w:rPr>
      </w:pPr>
      <w:r w:rsidRPr="00B22AD3">
        <w:rPr>
          <w:rStyle w:val="Rimandonotaapidipagina"/>
          <w:rFonts w:ascii="Garamond" w:hAnsi="Garamond"/>
        </w:rPr>
        <w:footnoteRef/>
      </w:r>
      <w:r w:rsidRPr="00B22AD3">
        <w:rPr>
          <w:rFonts w:ascii="Garamond" w:hAnsi="Garamond"/>
        </w:rPr>
        <w:t xml:space="preserve"> Invero, la normativa, nel dettare la definizione di valore dell</w:t>
      </w:r>
      <w:r>
        <w:rPr>
          <w:rFonts w:ascii="Garamond" w:hAnsi="Garamond"/>
        </w:rPr>
        <w:t>a</w:t>
      </w:r>
      <w:r w:rsidRPr="00B22AD3">
        <w:rPr>
          <w:rFonts w:ascii="Garamond" w:hAnsi="Garamond"/>
        </w:rPr>
        <w:t xml:space="preserve"> lite non opera un rinvio all’art. 12, d.lgs. 546/1992, ma all’art. 16, comma 6, legge 289/2002. Quest’ultima disposizione prevede che «</w:t>
      </w:r>
      <w:r w:rsidRPr="00B22AD3">
        <w:rPr>
          <w:rFonts w:ascii="Garamond" w:hAnsi="Garamond"/>
          <w:i/>
        </w:rPr>
        <w:t xml:space="preserve">per valore della lite, da assumere a base del calcolo per la definizione, l'importo dell'imposta che ha formato oggetto di contestazione in primo grado, al netto degli interessi, delle indennità di mora e delle eventuali sanzioni collegate al tributo, anche se irrogate con separato provvedimento; in caso di liti relative alla irrogazione di sanzioni non collegate al tributo, delle stesse si tiene conto ai fini del valore della lite; il valore della lite è determinato con riferimento </w:t>
      </w:r>
      <w:r w:rsidRPr="00B22AD3">
        <w:rPr>
          <w:rFonts w:ascii="Garamond" w:hAnsi="Garamond"/>
          <w:b/>
          <w:i/>
        </w:rPr>
        <w:t>a ciascun atto introduttivo del giudizio</w:t>
      </w:r>
      <w:r w:rsidRPr="00B22AD3">
        <w:rPr>
          <w:rFonts w:ascii="Garamond" w:hAnsi="Garamond"/>
          <w:i/>
        </w:rPr>
        <w:t>, indipendentemente dal numero di soggetti interessati e dai tributi in esso indicato</w:t>
      </w:r>
      <w:r w:rsidRPr="00B22AD3">
        <w:rPr>
          <w:rFonts w:ascii="Garamond" w:hAnsi="Garamond"/>
        </w:rPr>
        <w:t>»</w:t>
      </w:r>
      <w:r>
        <w:rPr>
          <w:rFonts w:ascii="Garamond" w:hAnsi="Garamond"/>
        </w:rPr>
        <w:t xml:space="preserve">. Il dato letterale farebbe intendere che il valore della lite sia dato, nel caso di ricorsi collettivi o cumulativi, dalla sommatoria dell’imposta dei vari atti impugnati. Tuttavia, proprio con riferimento alla definizione delle liti disciplinata dall’art. 16, legge 289/2002, l’Agenzia delle entrate, con circolare n. 12/E del 2003, ha ritenuto </w:t>
      </w:r>
      <w:r w:rsidR="00416129">
        <w:rPr>
          <w:rFonts w:ascii="Garamond" w:hAnsi="Garamond"/>
        </w:rPr>
        <w:t>che la determinazione del valore della controversia deve essere effettuata con riferimento a ciascun atto impugnato, trattandosi comunque di liti autonome. Il riferimento in norma all’atto introduttivo del giudizio rende, poi, del tutto irrilevante, l’eventuale riunione dei ricorsi disposta dal giudice tributario, ai sensi dell’art. 29, d.lgs. 546/1992. D’altro canto, anche ai fini del calcolo del contributo unificato, nel caso di ricorsi cumulativo o collettivi, questo va calcolato considerando gli scaglioni per singolo atto, e non per la sommatoria degli stessi (sul punto, si veda Corte Costituzionale, sentenza n. 78/2016</w:t>
      </w:r>
      <w:r w:rsidR="000869D9">
        <w:rPr>
          <w:rFonts w:ascii="Garamond" w:hAnsi="Garamond"/>
        </w:rPr>
        <w:t>)</w:t>
      </w:r>
      <w:r w:rsidR="00416129">
        <w:rPr>
          <w:rFonts w:ascii="Garamond" w:hAnsi="Garamond"/>
        </w:rPr>
        <w:t>.</w:t>
      </w:r>
    </w:p>
    <w:p w14:paraId="26B17F51" w14:textId="221F66A7" w:rsidR="00E81811" w:rsidRDefault="00E81811" w:rsidP="00B22AD3">
      <w:pPr>
        <w:pStyle w:val="Testonotaapidipagina"/>
        <w:jc w:val="both"/>
      </w:pPr>
      <w:r>
        <w:rPr>
          <w:rFonts w:ascii="Garamond" w:hAnsi="Garamond"/>
        </w:rPr>
        <w:t>Ad ulteriore conforto di quanto sostenuto, si precisa che lo stesso articolo 5</w:t>
      </w:r>
      <w:r w:rsidR="00195D3B">
        <w:rPr>
          <w:rFonts w:ascii="Garamond" w:hAnsi="Garamond"/>
        </w:rPr>
        <w:t xml:space="preserve"> </w:t>
      </w:r>
      <w:r>
        <w:rPr>
          <w:rFonts w:ascii="Garamond" w:hAnsi="Garamond"/>
        </w:rPr>
        <w:t>della legge 130/2022, precisa al comma 8 che “</w:t>
      </w:r>
      <w:r w:rsidRPr="00E81811">
        <w:rPr>
          <w:rFonts w:ascii="Garamond" w:hAnsi="Garamond"/>
          <w:i/>
          <w:iCs/>
        </w:rPr>
        <w:t>per controversia autonoma si intende quella relativa a ciascun atto impugnato</w:t>
      </w:r>
      <w:r>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EF74" w14:textId="77777777" w:rsidR="00744AE7" w:rsidRDefault="00744AE7">
    <w:pPr>
      <w:pStyle w:val="Intestazione"/>
    </w:pPr>
    <w:r>
      <w:rPr>
        <w:noProof/>
      </w:rPr>
      <w:drawing>
        <wp:inline distT="0" distB="0" distL="0" distR="0" wp14:anchorId="4C075CFF" wp14:editId="51878DDC">
          <wp:extent cx="938530" cy="779145"/>
          <wp:effectExtent l="0" t="0" r="0" b="1905"/>
          <wp:docPr id="1" name="Immagine 1" descr="HD_10.7:LAVORI IN CORSO:IFEL:LOGOI_IFEL_STACCATO:logo_IFEL_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D_10.7:LAVORI IN CORSO:IFEL:LOGOI_IFEL_STACCATO:logo_IFEL_Fondazi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779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363"/>
    <w:rsid w:val="00014D01"/>
    <w:rsid w:val="000869D9"/>
    <w:rsid w:val="000C796A"/>
    <w:rsid w:val="00147ADA"/>
    <w:rsid w:val="00195D3B"/>
    <w:rsid w:val="001E60C7"/>
    <w:rsid w:val="00260748"/>
    <w:rsid w:val="003D50F1"/>
    <w:rsid w:val="003E02AB"/>
    <w:rsid w:val="00416129"/>
    <w:rsid w:val="00652D8D"/>
    <w:rsid w:val="00675AEF"/>
    <w:rsid w:val="00677171"/>
    <w:rsid w:val="006C0441"/>
    <w:rsid w:val="00744AE7"/>
    <w:rsid w:val="007E0C91"/>
    <w:rsid w:val="007F56B2"/>
    <w:rsid w:val="00804AA7"/>
    <w:rsid w:val="00840363"/>
    <w:rsid w:val="00842351"/>
    <w:rsid w:val="008556B8"/>
    <w:rsid w:val="008A1A36"/>
    <w:rsid w:val="008B78A0"/>
    <w:rsid w:val="009529B6"/>
    <w:rsid w:val="009D7DE8"/>
    <w:rsid w:val="009E1F81"/>
    <w:rsid w:val="00A54AB0"/>
    <w:rsid w:val="00A6076A"/>
    <w:rsid w:val="00AF6CA1"/>
    <w:rsid w:val="00B22AD3"/>
    <w:rsid w:val="00B2696C"/>
    <w:rsid w:val="00B74CB9"/>
    <w:rsid w:val="00BF24AF"/>
    <w:rsid w:val="00C47BA5"/>
    <w:rsid w:val="00C508BD"/>
    <w:rsid w:val="00CA7AE5"/>
    <w:rsid w:val="00CE5020"/>
    <w:rsid w:val="00CE7F94"/>
    <w:rsid w:val="00CF3CD1"/>
    <w:rsid w:val="00CF42E5"/>
    <w:rsid w:val="00D53206"/>
    <w:rsid w:val="00D645C5"/>
    <w:rsid w:val="00E81811"/>
    <w:rsid w:val="00EE2E1C"/>
    <w:rsid w:val="00F11C30"/>
    <w:rsid w:val="00F67B2B"/>
    <w:rsid w:val="00FA7615"/>
    <w:rsid w:val="00FC7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5182B"/>
  <w15:docId w15:val="{80902180-D776-4F0D-B054-131787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63"/>
    <w:pPr>
      <w:spacing w:after="0" w:line="240" w:lineRule="auto"/>
    </w:pPr>
    <w:rPr>
      <w:rFonts w:ascii="Calibri" w:eastAsia="Calibri" w:hAnsi="Calibri" w:cs="Times New Roman"/>
      <w:lang w:eastAsia="it-IT"/>
    </w:rPr>
  </w:style>
  <w:style w:type="paragraph" w:styleId="Titolo3">
    <w:name w:val="heading 3"/>
    <w:basedOn w:val="Normale"/>
    <w:next w:val="Normale"/>
    <w:link w:val="Titolo3Carattere"/>
    <w:qFormat/>
    <w:rsid w:val="00840363"/>
    <w:pPr>
      <w:keepNext/>
      <w:jc w:val="center"/>
      <w:outlineLvl w:val="2"/>
    </w:pPr>
    <w:rPr>
      <w:rFonts w:ascii="Times New Roman" w:eastAsia="Times New Roman" w:hAnsi="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40363"/>
    <w:rPr>
      <w:rFonts w:ascii="Times New Roman" w:eastAsia="Times New Roman" w:hAnsi="Times New Roman" w:cs="Times New Roman"/>
      <w:b/>
      <w:sz w:val="24"/>
      <w:szCs w:val="20"/>
      <w:lang w:eastAsia="it-IT"/>
    </w:rPr>
  </w:style>
  <w:style w:type="paragraph" w:customStyle="1" w:styleId="testo">
    <w:name w:val="testo"/>
    <w:rsid w:val="00840363"/>
    <w:pPr>
      <w:spacing w:after="0" w:line="240" w:lineRule="auto"/>
      <w:ind w:firstLine="397"/>
      <w:jc w:val="both"/>
    </w:pPr>
    <w:rPr>
      <w:rFonts w:ascii="Garamond" w:eastAsia="Times New Roman" w:hAnsi="Garamond" w:cs="Times New Roman"/>
      <w:sz w:val="23"/>
      <w:szCs w:val="23"/>
      <w:lang w:eastAsia="it-IT"/>
    </w:rPr>
  </w:style>
  <w:style w:type="paragraph" w:styleId="Pidipagina">
    <w:name w:val="footer"/>
    <w:basedOn w:val="Normale"/>
    <w:link w:val="PidipaginaCarattere"/>
    <w:uiPriority w:val="99"/>
    <w:unhideWhenUsed/>
    <w:rsid w:val="00840363"/>
    <w:pPr>
      <w:tabs>
        <w:tab w:val="center" w:pos="4819"/>
        <w:tab w:val="right" w:pos="9638"/>
      </w:tabs>
    </w:pPr>
  </w:style>
  <w:style w:type="character" w:customStyle="1" w:styleId="PidipaginaCarattere">
    <w:name w:val="Piè di pagina Carattere"/>
    <w:basedOn w:val="Carpredefinitoparagrafo"/>
    <w:link w:val="Pidipagina"/>
    <w:uiPriority w:val="99"/>
    <w:rsid w:val="00840363"/>
    <w:rPr>
      <w:rFonts w:ascii="Calibri" w:eastAsia="Calibri" w:hAnsi="Calibri" w:cs="Times New Roman"/>
      <w:lang w:eastAsia="it-IT"/>
    </w:rPr>
  </w:style>
  <w:style w:type="paragraph" w:styleId="Titolo">
    <w:name w:val="Title"/>
    <w:basedOn w:val="Normale"/>
    <w:link w:val="TitoloCarattere"/>
    <w:qFormat/>
    <w:rsid w:val="00840363"/>
    <w:pPr>
      <w:jc w:val="center"/>
    </w:pPr>
    <w:rPr>
      <w:rFonts w:ascii="Times New Roman" w:eastAsia="Times New Roman" w:hAnsi="Times New Roman"/>
      <w:b/>
      <w:sz w:val="20"/>
      <w:szCs w:val="20"/>
    </w:rPr>
  </w:style>
  <w:style w:type="character" w:customStyle="1" w:styleId="TitoloCarattere">
    <w:name w:val="Titolo Carattere"/>
    <w:basedOn w:val="Carpredefinitoparagrafo"/>
    <w:link w:val="Titolo"/>
    <w:rsid w:val="00840363"/>
    <w:rPr>
      <w:rFonts w:ascii="Times New Roman" w:eastAsia="Times New Roman" w:hAnsi="Times New Roman" w:cs="Times New Roman"/>
      <w:b/>
      <w:sz w:val="20"/>
      <w:szCs w:val="20"/>
      <w:lang w:eastAsia="it-IT"/>
    </w:rPr>
  </w:style>
  <w:style w:type="paragraph" w:styleId="Rientrocorpodeltesto">
    <w:name w:val="Body Text Indent"/>
    <w:basedOn w:val="Normale"/>
    <w:link w:val="RientrocorpodeltestoCarattere"/>
    <w:semiHidden/>
    <w:rsid w:val="00840363"/>
    <w:pPr>
      <w:tabs>
        <w:tab w:val="left" w:pos="0"/>
      </w:tabs>
      <w:ind w:firstLine="284"/>
      <w:jc w:val="both"/>
    </w:pPr>
    <w:rPr>
      <w:rFonts w:ascii="Times New Roman" w:eastAsia="Times New Roman" w:hAnsi="Times New Roman"/>
      <w:sz w:val="24"/>
      <w:szCs w:val="20"/>
    </w:rPr>
  </w:style>
  <w:style w:type="character" w:customStyle="1" w:styleId="RientrocorpodeltestoCarattere">
    <w:name w:val="Rientro corpo del testo Carattere"/>
    <w:basedOn w:val="Carpredefinitoparagrafo"/>
    <w:link w:val="Rientrocorpodeltesto"/>
    <w:semiHidden/>
    <w:rsid w:val="00840363"/>
    <w:rPr>
      <w:rFonts w:ascii="Times New Roman" w:eastAsia="Times New Roman" w:hAnsi="Times New Roman" w:cs="Times New Roman"/>
      <w:sz w:val="24"/>
      <w:szCs w:val="20"/>
      <w:lang w:eastAsia="it-IT"/>
    </w:rPr>
  </w:style>
  <w:style w:type="paragraph" w:styleId="Sommario3">
    <w:name w:val="toc 3"/>
    <w:basedOn w:val="Normale"/>
    <w:next w:val="Normale"/>
    <w:autoRedefine/>
    <w:uiPriority w:val="39"/>
    <w:unhideWhenUsed/>
    <w:rsid w:val="00840363"/>
    <w:pPr>
      <w:ind w:left="440"/>
    </w:pPr>
  </w:style>
  <w:style w:type="character" w:styleId="Collegamentoipertestuale">
    <w:name w:val="Hyperlink"/>
    <w:uiPriority w:val="99"/>
    <w:unhideWhenUsed/>
    <w:rsid w:val="00840363"/>
    <w:rPr>
      <w:color w:val="0000FF"/>
      <w:u w:val="single"/>
    </w:rPr>
  </w:style>
  <w:style w:type="paragraph" w:styleId="Intestazione">
    <w:name w:val="header"/>
    <w:basedOn w:val="Normale"/>
    <w:link w:val="IntestazioneCarattere"/>
    <w:uiPriority w:val="99"/>
    <w:unhideWhenUsed/>
    <w:rsid w:val="00744AE7"/>
    <w:pPr>
      <w:tabs>
        <w:tab w:val="center" w:pos="4819"/>
        <w:tab w:val="right" w:pos="9638"/>
      </w:tabs>
    </w:pPr>
  </w:style>
  <w:style w:type="character" w:customStyle="1" w:styleId="IntestazioneCarattere">
    <w:name w:val="Intestazione Carattere"/>
    <w:basedOn w:val="Carpredefinitoparagrafo"/>
    <w:link w:val="Intestazione"/>
    <w:uiPriority w:val="99"/>
    <w:rsid w:val="00744AE7"/>
    <w:rPr>
      <w:rFonts w:ascii="Calibri" w:eastAsia="Calibri" w:hAnsi="Calibri" w:cs="Times New Roman"/>
      <w:lang w:eastAsia="it-IT"/>
    </w:rPr>
  </w:style>
  <w:style w:type="paragraph" w:styleId="Testofumetto">
    <w:name w:val="Balloon Text"/>
    <w:basedOn w:val="Normale"/>
    <w:link w:val="TestofumettoCarattere"/>
    <w:uiPriority w:val="99"/>
    <w:semiHidden/>
    <w:unhideWhenUsed/>
    <w:rsid w:val="00744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AE7"/>
    <w:rPr>
      <w:rFonts w:ascii="Tahoma" w:eastAsia="Calibri" w:hAnsi="Tahoma" w:cs="Tahoma"/>
      <w:sz w:val="16"/>
      <w:szCs w:val="16"/>
      <w:lang w:eastAsia="it-IT"/>
    </w:rPr>
  </w:style>
  <w:style w:type="paragraph" w:customStyle="1" w:styleId="wkit-indentation-level-0">
    <w:name w:val="wkit-indentation-level-0"/>
    <w:basedOn w:val="Normale"/>
    <w:rsid w:val="009529B6"/>
    <w:pPr>
      <w:spacing w:before="100" w:beforeAutospacing="1" w:after="100" w:afterAutospacing="1"/>
    </w:pPr>
    <w:rPr>
      <w:rFonts w:ascii="Times New Roman" w:eastAsia="Times New Roman" w:hAnsi="Times New Roman"/>
      <w:sz w:val="24"/>
      <w:szCs w:val="24"/>
    </w:rPr>
  </w:style>
  <w:style w:type="character" w:customStyle="1" w:styleId="wkit-inforce-info">
    <w:name w:val="wkit-inforce-info"/>
    <w:basedOn w:val="Carpredefinitoparagrafo"/>
    <w:rsid w:val="009529B6"/>
  </w:style>
  <w:style w:type="character" w:customStyle="1" w:styleId="wk-tooltip-wrapper">
    <w:name w:val="wk-tooltip-wrapper"/>
    <w:basedOn w:val="Carpredefinitoparagrafo"/>
    <w:rsid w:val="009529B6"/>
  </w:style>
  <w:style w:type="character" w:styleId="Enfasicorsivo">
    <w:name w:val="Emphasis"/>
    <w:basedOn w:val="Carpredefinitoparagrafo"/>
    <w:uiPriority w:val="20"/>
    <w:qFormat/>
    <w:rsid w:val="009D7DE8"/>
    <w:rPr>
      <w:i/>
      <w:iCs/>
    </w:rPr>
  </w:style>
  <w:style w:type="character" w:styleId="Enfasigrassetto">
    <w:name w:val="Strong"/>
    <w:basedOn w:val="Carpredefinitoparagrafo"/>
    <w:uiPriority w:val="22"/>
    <w:qFormat/>
    <w:rsid w:val="00CE5020"/>
    <w:rPr>
      <w:b/>
      <w:bCs/>
    </w:rPr>
  </w:style>
  <w:style w:type="paragraph" w:customStyle="1" w:styleId="mb-3">
    <w:name w:val="mb-3"/>
    <w:basedOn w:val="Normale"/>
    <w:rsid w:val="00CE5020"/>
    <w:pPr>
      <w:spacing w:before="100" w:beforeAutospacing="1" w:after="100" w:afterAutospacing="1"/>
    </w:pPr>
    <w:rPr>
      <w:rFonts w:ascii="Times New Roman" w:eastAsia="Times New Roman" w:hAnsi="Times New Roman"/>
      <w:sz w:val="24"/>
      <w:szCs w:val="24"/>
    </w:rPr>
  </w:style>
  <w:style w:type="paragraph" w:styleId="Testonotaapidipagina">
    <w:name w:val="footnote text"/>
    <w:basedOn w:val="Normale"/>
    <w:link w:val="TestonotaapidipaginaCarattere"/>
    <w:uiPriority w:val="99"/>
    <w:semiHidden/>
    <w:unhideWhenUsed/>
    <w:rsid w:val="00CF3CD1"/>
    <w:rPr>
      <w:sz w:val="20"/>
      <w:szCs w:val="20"/>
    </w:rPr>
  </w:style>
  <w:style w:type="character" w:customStyle="1" w:styleId="TestonotaapidipaginaCarattere">
    <w:name w:val="Testo nota a piè di pagina Carattere"/>
    <w:basedOn w:val="Carpredefinitoparagrafo"/>
    <w:link w:val="Testonotaapidipagina"/>
    <w:uiPriority w:val="99"/>
    <w:semiHidden/>
    <w:rsid w:val="00CF3CD1"/>
    <w:rPr>
      <w:rFonts w:ascii="Calibri" w:eastAsia="Calibri" w:hAnsi="Calibri" w:cs="Times New Roman"/>
      <w:sz w:val="20"/>
      <w:szCs w:val="20"/>
      <w:lang w:eastAsia="it-IT"/>
    </w:rPr>
  </w:style>
  <w:style w:type="character" w:styleId="Rimandonotaapidipagina">
    <w:name w:val="footnote reference"/>
    <w:basedOn w:val="Carpredefinitoparagrafo"/>
    <w:uiPriority w:val="99"/>
    <w:semiHidden/>
    <w:unhideWhenUsed/>
    <w:rsid w:val="00CF3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4941">
      <w:bodyDiv w:val="1"/>
      <w:marLeft w:val="0"/>
      <w:marRight w:val="0"/>
      <w:marTop w:val="0"/>
      <w:marBottom w:val="0"/>
      <w:divBdr>
        <w:top w:val="none" w:sz="0" w:space="0" w:color="auto"/>
        <w:left w:val="none" w:sz="0" w:space="0" w:color="auto"/>
        <w:bottom w:val="none" w:sz="0" w:space="0" w:color="auto"/>
        <w:right w:val="none" w:sz="0" w:space="0" w:color="auto"/>
      </w:divBdr>
      <w:divsChild>
        <w:div w:id="65568085">
          <w:marLeft w:val="0"/>
          <w:marRight w:val="0"/>
          <w:marTop w:val="0"/>
          <w:marBottom w:val="120"/>
          <w:divBdr>
            <w:top w:val="none" w:sz="0" w:space="0" w:color="auto"/>
            <w:left w:val="none" w:sz="0" w:space="0" w:color="auto"/>
            <w:bottom w:val="none" w:sz="0" w:space="0" w:color="auto"/>
            <w:right w:val="none" w:sz="0" w:space="0" w:color="auto"/>
          </w:divBdr>
          <w:divsChild>
            <w:div w:id="801462722">
              <w:marLeft w:val="0"/>
              <w:marRight w:val="0"/>
              <w:marTop w:val="75"/>
              <w:marBottom w:val="75"/>
              <w:divBdr>
                <w:top w:val="none" w:sz="0" w:space="0" w:color="auto"/>
                <w:left w:val="none" w:sz="0" w:space="0" w:color="auto"/>
                <w:bottom w:val="none" w:sz="0" w:space="0" w:color="auto"/>
                <w:right w:val="none" w:sz="0" w:space="0" w:color="auto"/>
              </w:divBdr>
            </w:div>
          </w:divsChild>
        </w:div>
        <w:div w:id="773864280">
          <w:marLeft w:val="0"/>
          <w:marRight w:val="0"/>
          <w:marTop w:val="0"/>
          <w:marBottom w:val="120"/>
          <w:divBdr>
            <w:top w:val="none" w:sz="0" w:space="0" w:color="auto"/>
            <w:left w:val="none" w:sz="0" w:space="0" w:color="auto"/>
            <w:bottom w:val="none" w:sz="0" w:space="0" w:color="auto"/>
            <w:right w:val="none" w:sz="0" w:space="0" w:color="auto"/>
          </w:divBdr>
          <w:divsChild>
            <w:div w:id="1666277116">
              <w:marLeft w:val="0"/>
              <w:marRight w:val="0"/>
              <w:marTop w:val="0"/>
              <w:marBottom w:val="120"/>
              <w:divBdr>
                <w:top w:val="none" w:sz="0" w:space="0" w:color="auto"/>
                <w:left w:val="none" w:sz="0" w:space="0" w:color="auto"/>
                <w:bottom w:val="none" w:sz="0" w:space="0" w:color="auto"/>
                <w:right w:val="none" w:sz="0" w:space="0" w:color="auto"/>
              </w:divBdr>
            </w:div>
            <w:div w:id="356546370">
              <w:marLeft w:val="0"/>
              <w:marRight w:val="0"/>
              <w:marTop w:val="0"/>
              <w:marBottom w:val="120"/>
              <w:divBdr>
                <w:top w:val="none" w:sz="0" w:space="0" w:color="auto"/>
                <w:left w:val="none" w:sz="0" w:space="0" w:color="auto"/>
                <w:bottom w:val="none" w:sz="0" w:space="0" w:color="auto"/>
                <w:right w:val="none" w:sz="0" w:space="0" w:color="auto"/>
              </w:divBdr>
            </w:div>
            <w:div w:id="11035704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6549042">
      <w:bodyDiv w:val="1"/>
      <w:marLeft w:val="0"/>
      <w:marRight w:val="0"/>
      <w:marTop w:val="0"/>
      <w:marBottom w:val="0"/>
      <w:divBdr>
        <w:top w:val="none" w:sz="0" w:space="0" w:color="auto"/>
        <w:left w:val="none" w:sz="0" w:space="0" w:color="auto"/>
        <w:bottom w:val="none" w:sz="0" w:space="0" w:color="auto"/>
        <w:right w:val="none" w:sz="0" w:space="0" w:color="auto"/>
      </w:divBdr>
      <w:divsChild>
        <w:div w:id="144769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1117</Words>
  <Characters>6371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Mirto</dc:creator>
  <cp:lastModifiedBy>Francesca Proia</cp:lastModifiedBy>
  <cp:revision>20</cp:revision>
  <cp:lastPrinted>2022-10-24T10:07:00Z</cp:lastPrinted>
  <dcterms:created xsi:type="dcterms:W3CDTF">2022-10-24T11:07:00Z</dcterms:created>
  <dcterms:modified xsi:type="dcterms:W3CDTF">2022-11-04T12:10:00Z</dcterms:modified>
</cp:coreProperties>
</file>