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04B2" w14:textId="3B03627E" w:rsidR="00AF6CA1" w:rsidRPr="00644FDD" w:rsidRDefault="005C4C39" w:rsidP="00DB3BE8">
      <w:pPr>
        <w:spacing w:after="80"/>
        <w:rPr>
          <w:rFonts w:ascii="Bookman Old Style" w:hAnsi="Bookman Old Style"/>
        </w:rPr>
      </w:pPr>
      <w:r>
        <w:rPr>
          <w:rFonts w:ascii="Bookman Old Style" w:hAnsi="Bookman Old Style"/>
          <w:noProof/>
        </w:rPr>
        <w:drawing>
          <wp:inline distT="0" distB="0" distL="0" distR="0" wp14:anchorId="6CE573BE" wp14:editId="2F1E5DDB">
            <wp:extent cx="883920" cy="73787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920" cy="737870"/>
                    </a:xfrm>
                    <a:prstGeom prst="rect">
                      <a:avLst/>
                    </a:prstGeom>
                    <a:noFill/>
                  </pic:spPr>
                </pic:pic>
              </a:graphicData>
            </a:graphic>
          </wp:inline>
        </w:drawing>
      </w:r>
    </w:p>
    <w:p w14:paraId="67BC04B3" w14:textId="77777777" w:rsidR="0004610D" w:rsidRPr="00644FDD" w:rsidRDefault="0004610D" w:rsidP="00DB3BE8">
      <w:pPr>
        <w:spacing w:after="80"/>
        <w:rPr>
          <w:rFonts w:ascii="Bookman Old Style" w:hAnsi="Bookman Old Style"/>
        </w:rPr>
      </w:pPr>
    </w:p>
    <w:p w14:paraId="67BC04B4" w14:textId="7DC6A8C2" w:rsidR="0004610D" w:rsidRDefault="009D2B70" w:rsidP="007816C4">
      <w:pPr>
        <w:spacing w:after="80"/>
        <w:ind w:firstLine="0"/>
        <w:rPr>
          <w:rFonts w:ascii="Bookman Old Style" w:hAnsi="Bookman Old Style"/>
          <w:bCs/>
          <w:i/>
        </w:rPr>
      </w:pPr>
      <w:r w:rsidRPr="007816C4">
        <w:rPr>
          <w:rFonts w:ascii="Bookman Old Style" w:hAnsi="Bookman Old Style"/>
          <w:bCs/>
          <w:i/>
        </w:rPr>
        <w:t xml:space="preserve">Roma, </w:t>
      </w:r>
      <w:r w:rsidR="006624E5">
        <w:rPr>
          <w:rFonts w:ascii="Bookman Old Style" w:hAnsi="Bookman Old Style"/>
          <w:bCs/>
          <w:i/>
        </w:rPr>
        <w:t>12</w:t>
      </w:r>
      <w:r w:rsidR="00893236">
        <w:rPr>
          <w:rFonts w:ascii="Bookman Old Style" w:hAnsi="Bookman Old Style"/>
          <w:bCs/>
          <w:i/>
        </w:rPr>
        <w:t xml:space="preserve"> </w:t>
      </w:r>
      <w:r w:rsidR="006624E5">
        <w:rPr>
          <w:rFonts w:ascii="Bookman Old Style" w:hAnsi="Bookman Old Style"/>
          <w:bCs/>
          <w:i/>
        </w:rPr>
        <w:t xml:space="preserve">dicembre </w:t>
      </w:r>
      <w:r w:rsidR="00893236">
        <w:rPr>
          <w:rFonts w:ascii="Bookman Old Style" w:hAnsi="Bookman Old Style"/>
          <w:bCs/>
          <w:i/>
        </w:rPr>
        <w:t>2022</w:t>
      </w:r>
    </w:p>
    <w:p w14:paraId="6FC9B06A" w14:textId="77777777" w:rsidR="003A21BF" w:rsidRPr="007816C4" w:rsidRDefault="003A21BF" w:rsidP="007816C4">
      <w:pPr>
        <w:spacing w:after="80"/>
        <w:ind w:firstLine="0"/>
        <w:rPr>
          <w:rFonts w:ascii="Bookman Old Style" w:hAnsi="Bookman Old Style"/>
          <w:bCs/>
          <w:i/>
        </w:rPr>
      </w:pPr>
    </w:p>
    <w:p w14:paraId="79B58B6A" w14:textId="77777777" w:rsidR="009D2B70" w:rsidRPr="00644FDD" w:rsidRDefault="009D2B70" w:rsidP="009D2B70">
      <w:pPr>
        <w:spacing w:after="80"/>
        <w:ind w:firstLine="0"/>
        <w:rPr>
          <w:rFonts w:ascii="Bookman Old Style" w:hAnsi="Bookman Old Style"/>
        </w:rPr>
      </w:pPr>
    </w:p>
    <w:p w14:paraId="13C64893" w14:textId="77777777" w:rsidR="00C3509D" w:rsidRDefault="00E90D39" w:rsidP="009D2B70">
      <w:pPr>
        <w:spacing w:after="40" w:line="276" w:lineRule="auto"/>
        <w:ind w:firstLine="0"/>
        <w:jc w:val="center"/>
        <w:rPr>
          <w:rFonts w:ascii="Bookman Old Style" w:hAnsi="Bookman Old Style"/>
          <w:b/>
          <w:sz w:val="24"/>
          <w:szCs w:val="24"/>
        </w:rPr>
      </w:pPr>
      <w:r w:rsidRPr="000F0F38">
        <w:rPr>
          <w:rFonts w:ascii="Bookman Old Style" w:hAnsi="Bookman Old Style"/>
          <w:b/>
          <w:sz w:val="24"/>
          <w:szCs w:val="24"/>
        </w:rPr>
        <w:t xml:space="preserve">Schema </w:t>
      </w:r>
      <w:r w:rsidR="008944B5" w:rsidRPr="000F0F38">
        <w:rPr>
          <w:rFonts w:ascii="Bookman Old Style" w:hAnsi="Bookman Old Style"/>
          <w:b/>
          <w:sz w:val="24"/>
          <w:szCs w:val="24"/>
        </w:rPr>
        <w:t>di</w:t>
      </w:r>
      <w:r w:rsidRPr="000F0F38">
        <w:rPr>
          <w:rFonts w:ascii="Bookman Old Style" w:hAnsi="Bookman Old Style"/>
          <w:b/>
          <w:sz w:val="24"/>
          <w:szCs w:val="24"/>
        </w:rPr>
        <w:t xml:space="preserve"> </w:t>
      </w:r>
      <w:r w:rsidR="0004610D" w:rsidRPr="000F0F38">
        <w:rPr>
          <w:rFonts w:ascii="Bookman Old Style" w:hAnsi="Bookman Old Style"/>
          <w:b/>
          <w:sz w:val="24"/>
          <w:szCs w:val="24"/>
        </w:rPr>
        <w:t xml:space="preserve">modifiche </w:t>
      </w:r>
      <w:r w:rsidR="008944B5" w:rsidRPr="000F0F38">
        <w:rPr>
          <w:rFonts w:ascii="Bookman Old Style" w:hAnsi="Bookman Old Style"/>
          <w:b/>
          <w:sz w:val="24"/>
          <w:szCs w:val="24"/>
        </w:rPr>
        <w:t xml:space="preserve">del </w:t>
      </w:r>
      <w:r w:rsidR="0004610D" w:rsidRPr="000F0F38">
        <w:rPr>
          <w:rFonts w:ascii="Bookman Old Style" w:hAnsi="Bookman Old Style"/>
          <w:b/>
          <w:sz w:val="24"/>
          <w:szCs w:val="24"/>
        </w:rPr>
        <w:t>regolamento</w:t>
      </w:r>
      <w:r w:rsidR="00C96447" w:rsidRPr="000F0F38">
        <w:rPr>
          <w:rFonts w:ascii="Bookman Old Style" w:hAnsi="Bookman Old Style"/>
          <w:b/>
          <w:sz w:val="24"/>
          <w:szCs w:val="24"/>
        </w:rPr>
        <w:t xml:space="preserve"> per l’applicazione della</w:t>
      </w:r>
      <w:r w:rsidR="0004610D" w:rsidRPr="000F0F38">
        <w:rPr>
          <w:rFonts w:ascii="Bookman Old Style" w:hAnsi="Bookman Old Style"/>
          <w:b/>
          <w:sz w:val="24"/>
          <w:szCs w:val="24"/>
        </w:rPr>
        <w:t xml:space="preserve"> TARI</w:t>
      </w:r>
      <w:r w:rsidR="009D2B70" w:rsidRPr="000F0F38">
        <w:rPr>
          <w:rFonts w:ascii="Bookman Old Style" w:hAnsi="Bookman Old Style"/>
          <w:b/>
          <w:sz w:val="24"/>
          <w:szCs w:val="24"/>
        </w:rPr>
        <w:t xml:space="preserve">, </w:t>
      </w:r>
    </w:p>
    <w:p w14:paraId="67BC050D" w14:textId="38DAECC5" w:rsidR="00E7171A" w:rsidRPr="007816C4" w:rsidRDefault="00893236" w:rsidP="009D2B70">
      <w:pPr>
        <w:spacing w:after="40" w:line="276" w:lineRule="auto"/>
        <w:ind w:firstLine="0"/>
        <w:jc w:val="center"/>
        <w:rPr>
          <w:rFonts w:ascii="Bookman Old Style" w:hAnsi="Bookman Old Style"/>
          <w:sz w:val="24"/>
          <w:szCs w:val="24"/>
        </w:rPr>
      </w:pPr>
      <w:r>
        <w:rPr>
          <w:rFonts w:ascii="Bookman Old Style" w:hAnsi="Bookman Old Style"/>
          <w:b/>
          <w:sz w:val="24"/>
          <w:szCs w:val="24"/>
        </w:rPr>
        <w:t>in recepimento della delibera ARERA 15/2022, di regolazione della qualità del servizio di gestione dei rifiuti urbani</w:t>
      </w:r>
    </w:p>
    <w:p w14:paraId="67BC050E" w14:textId="77777777" w:rsidR="00E7171A" w:rsidRPr="007816C4" w:rsidRDefault="00E7171A" w:rsidP="007816C4">
      <w:pPr>
        <w:rPr>
          <w:rFonts w:ascii="Bookman Old Style" w:hAnsi="Bookman Old Style"/>
        </w:rPr>
      </w:pPr>
    </w:p>
    <w:p w14:paraId="67BC050F" w14:textId="77777777" w:rsidR="0004610D" w:rsidRPr="00644FDD" w:rsidRDefault="0004610D" w:rsidP="007816C4">
      <w:pPr>
        <w:rPr>
          <w:rFonts w:ascii="Bookman Old Style" w:hAnsi="Bookman Old Style"/>
        </w:rPr>
      </w:pPr>
    </w:p>
    <w:p w14:paraId="67FE8574" w14:textId="77777777" w:rsidR="00D71CDA" w:rsidRPr="00D2465D" w:rsidRDefault="00D71CDA" w:rsidP="009D2B70">
      <w:pPr>
        <w:spacing w:after="40" w:line="276" w:lineRule="auto"/>
        <w:ind w:firstLine="0"/>
        <w:jc w:val="center"/>
        <w:rPr>
          <w:rFonts w:ascii="Bookman Old Style" w:hAnsi="Bookman Old Style"/>
        </w:rPr>
      </w:pPr>
    </w:p>
    <w:sdt>
      <w:sdtPr>
        <w:rPr>
          <w:rFonts w:ascii="Calibri" w:eastAsia="Times New Roman" w:hAnsi="Calibri" w:cs="Times New Roman"/>
          <w:color w:val="auto"/>
          <w:sz w:val="20"/>
          <w:szCs w:val="20"/>
        </w:rPr>
        <w:id w:val="-1377693287"/>
        <w:docPartObj>
          <w:docPartGallery w:val="Table of Contents"/>
          <w:docPartUnique/>
        </w:docPartObj>
      </w:sdtPr>
      <w:sdtEndPr>
        <w:rPr>
          <w:b/>
          <w:bCs/>
        </w:rPr>
      </w:sdtEndPr>
      <w:sdtContent>
        <w:p w14:paraId="408EF5F6" w14:textId="77777777" w:rsidR="00556721" w:rsidRPr="00896317" w:rsidRDefault="00556721" w:rsidP="00896317">
          <w:pPr>
            <w:pStyle w:val="Titolosommario"/>
            <w:spacing w:before="0" w:after="40" w:line="252" w:lineRule="auto"/>
            <w:rPr>
              <w:rFonts w:ascii="Bookman Old Style" w:hAnsi="Bookman Old Style"/>
              <w:b/>
              <w:bCs/>
              <w:i/>
              <w:iCs/>
              <w:sz w:val="20"/>
              <w:szCs w:val="20"/>
            </w:rPr>
          </w:pPr>
          <w:r w:rsidRPr="00896317">
            <w:rPr>
              <w:rFonts w:ascii="Bookman Old Style" w:hAnsi="Bookman Old Style"/>
              <w:b/>
              <w:bCs/>
              <w:i/>
              <w:iCs/>
              <w:sz w:val="20"/>
              <w:szCs w:val="20"/>
            </w:rPr>
            <w:t>Sommario degli articoli/argomenti oggetto di modifica</w:t>
          </w:r>
        </w:p>
        <w:p w14:paraId="48A0766F" w14:textId="02ABBC08" w:rsidR="00896317" w:rsidRPr="00896317" w:rsidRDefault="00556721" w:rsidP="00896317">
          <w:pPr>
            <w:pStyle w:val="Sommario2"/>
            <w:spacing w:after="40" w:line="252" w:lineRule="auto"/>
            <w:rPr>
              <w:rFonts w:asciiTheme="minorHAnsi" w:eastAsiaTheme="minorEastAsia" w:hAnsiTheme="minorHAnsi" w:cstheme="minorBidi"/>
              <w:noProof/>
              <w:sz w:val="20"/>
              <w:szCs w:val="20"/>
            </w:rPr>
          </w:pPr>
          <w:r w:rsidRPr="00896317">
            <w:rPr>
              <w:rFonts w:ascii="Bookman Old Style" w:hAnsi="Bookman Old Style"/>
              <w:sz w:val="20"/>
              <w:szCs w:val="20"/>
            </w:rPr>
            <w:fldChar w:fldCharType="begin"/>
          </w:r>
          <w:r w:rsidRPr="00896317">
            <w:rPr>
              <w:rFonts w:ascii="Bookman Old Style" w:hAnsi="Bookman Old Style"/>
              <w:sz w:val="20"/>
              <w:szCs w:val="20"/>
            </w:rPr>
            <w:instrText xml:space="preserve"> TOC \o "1-3" \h \z \u </w:instrText>
          </w:r>
          <w:r w:rsidRPr="00896317">
            <w:rPr>
              <w:rFonts w:ascii="Bookman Old Style" w:hAnsi="Bookman Old Style"/>
              <w:sz w:val="20"/>
              <w:szCs w:val="20"/>
            </w:rPr>
            <w:fldChar w:fldCharType="separate"/>
          </w:r>
          <w:hyperlink w:anchor="_Toc121591181" w:history="1">
            <w:r w:rsidR="00896317" w:rsidRPr="00896317">
              <w:rPr>
                <w:rStyle w:val="Collegamentoipertestuale"/>
                <w:rFonts w:ascii="Bookman Old Style" w:hAnsi="Bookman Old Style"/>
                <w:bCs/>
                <w:noProof/>
                <w:sz w:val="20"/>
                <w:szCs w:val="20"/>
              </w:rPr>
              <w:t>Premessa</w:t>
            </w:r>
            <w:r w:rsidR="00896317" w:rsidRPr="00896317">
              <w:rPr>
                <w:noProof/>
                <w:webHidden/>
                <w:sz w:val="20"/>
                <w:szCs w:val="20"/>
              </w:rPr>
              <w:tab/>
            </w:r>
            <w:r w:rsidR="00896317" w:rsidRPr="00896317">
              <w:rPr>
                <w:noProof/>
                <w:webHidden/>
                <w:sz w:val="20"/>
                <w:szCs w:val="20"/>
              </w:rPr>
              <w:tab/>
            </w:r>
            <w:r w:rsidR="00896317" w:rsidRPr="00896317">
              <w:rPr>
                <w:noProof/>
                <w:webHidden/>
                <w:sz w:val="20"/>
                <w:szCs w:val="20"/>
              </w:rPr>
              <w:fldChar w:fldCharType="begin"/>
            </w:r>
            <w:r w:rsidR="00896317" w:rsidRPr="00896317">
              <w:rPr>
                <w:noProof/>
                <w:webHidden/>
                <w:sz w:val="20"/>
                <w:szCs w:val="20"/>
              </w:rPr>
              <w:instrText xml:space="preserve"> PAGEREF _Toc121591181 \h </w:instrText>
            </w:r>
            <w:r w:rsidR="00896317" w:rsidRPr="00896317">
              <w:rPr>
                <w:noProof/>
                <w:webHidden/>
                <w:sz w:val="20"/>
                <w:szCs w:val="20"/>
              </w:rPr>
            </w:r>
            <w:r w:rsidR="00896317" w:rsidRPr="00896317">
              <w:rPr>
                <w:noProof/>
                <w:webHidden/>
                <w:sz w:val="20"/>
                <w:szCs w:val="20"/>
              </w:rPr>
              <w:fldChar w:fldCharType="separate"/>
            </w:r>
            <w:r w:rsidR="0025534C">
              <w:rPr>
                <w:noProof/>
                <w:webHidden/>
                <w:sz w:val="20"/>
                <w:szCs w:val="20"/>
              </w:rPr>
              <w:t>1</w:t>
            </w:r>
            <w:r w:rsidR="00896317" w:rsidRPr="00896317">
              <w:rPr>
                <w:noProof/>
                <w:webHidden/>
                <w:sz w:val="20"/>
                <w:szCs w:val="20"/>
              </w:rPr>
              <w:fldChar w:fldCharType="end"/>
            </w:r>
          </w:hyperlink>
        </w:p>
        <w:p w14:paraId="4EEC51EC" w14:textId="2530F3D0" w:rsidR="00896317" w:rsidRPr="00896317" w:rsidRDefault="00000000" w:rsidP="00896317">
          <w:pPr>
            <w:pStyle w:val="Sommario2"/>
            <w:spacing w:after="40" w:line="252" w:lineRule="auto"/>
            <w:ind w:hanging="1134"/>
            <w:rPr>
              <w:rFonts w:asciiTheme="minorHAnsi" w:eastAsiaTheme="minorEastAsia" w:hAnsiTheme="minorHAnsi" w:cstheme="minorBidi"/>
              <w:noProof/>
              <w:sz w:val="20"/>
              <w:szCs w:val="20"/>
            </w:rPr>
          </w:pPr>
          <w:hyperlink w:anchor="_Toc121591182" w:history="1">
            <w:r w:rsidR="00896317" w:rsidRPr="00896317">
              <w:rPr>
                <w:rStyle w:val="Collegamentoipertestuale"/>
                <w:rFonts w:ascii="Bookman Old Style" w:hAnsi="Bookman Old Style"/>
                <w:i/>
                <w:iCs/>
                <w:noProof/>
                <w:sz w:val="20"/>
                <w:szCs w:val="20"/>
              </w:rPr>
              <w:t>La “richiesta di attivazione del servizio”</w:t>
            </w:r>
            <w:r w:rsidR="00896317" w:rsidRPr="00896317">
              <w:rPr>
                <w:noProof/>
                <w:webHidden/>
                <w:sz w:val="20"/>
                <w:szCs w:val="20"/>
              </w:rPr>
              <w:tab/>
            </w:r>
            <w:r w:rsidR="00896317" w:rsidRPr="00896317">
              <w:rPr>
                <w:noProof/>
                <w:webHidden/>
                <w:sz w:val="20"/>
                <w:szCs w:val="20"/>
              </w:rPr>
              <w:fldChar w:fldCharType="begin"/>
            </w:r>
            <w:r w:rsidR="00896317" w:rsidRPr="00896317">
              <w:rPr>
                <w:noProof/>
                <w:webHidden/>
                <w:sz w:val="20"/>
                <w:szCs w:val="20"/>
              </w:rPr>
              <w:instrText xml:space="preserve"> PAGEREF _Toc121591182 \h </w:instrText>
            </w:r>
            <w:r w:rsidR="00896317" w:rsidRPr="00896317">
              <w:rPr>
                <w:noProof/>
                <w:webHidden/>
                <w:sz w:val="20"/>
                <w:szCs w:val="20"/>
              </w:rPr>
            </w:r>
            <w:r w:rsidR="00896317" w:rsidRPr="00896317">
              <w:rPr>
                <w:noProof/>
                <w:webHidden/>
                <w:sz w:val="20"/>
                <w:szCs w:val="20"/>
              </w:rPr>
              <w:fldChar w:fldCharType="separate"/>
            </w:r>
            <w:r w:rsidR="0025534C">
              <w:rPr>
                <w:noProof/>
                <w:webHidden/>
                <w:sz w:val="20"/>
                <w:szCs w:val="20"/>
              </w:rPr>
              <w:t>3</w:t>
            </w:r>
            <w:r w:rsidR="00896317" w:rsidRPr="00896317">
              <w:rPr>
                <w:noProof/>
                <w:webHidden/>
                <w:sz w:val="20"/>
                <w:szCs w:val="20"/>
              </w:rPr>
              <w:fldChar w:fldCharType="end"/>
            </w:r>
          </w:hyperlink>
        </w:p>
        <w:p w14:paraId="5B0F9D27" w14:textId="24D3926E" w:rsidR="00896317" w:rsidRPr="00896317" w:rsidRDefault="00000000" w:rsidP="00896317">
          <w:pPr>
            <w:pStyle w:val="Sommario2"/>
            <w:spacing w:after="40" w:line="252" w:lineRule="auto"/>
            <w:ind w:hanging="1134"/>
            <w:rPr>
              <w:rFonts w:asciiTheme="minorHAnsi" w:eastAsiaTheme="minorEastAsia" w:hAnsiTheme="minorHAnsi" w:cstheme="minorBidi"/>
              <w:noProof/>
              <w:sz w:val="20"/>
              <w:szCs w:val="20"/>
            </w:rPr>
          </w:pPr>
          <w:hyperlink w:anchor="_Toc121591183" w:history="1">
            <w:r w:rsidR="00896317" w:rsidRPr="00896317">
              <w:rPr>
                <w:rStyle w:val="Collegamentoipertestuale"/>
                <w:rFonts w:ascii="Bookman Old Style" w:hAnsi="Bookman Old Style"/>
                <w:i/>
                <w:iCs/>
                <w:noProof/>
                <w:sz w:val="20"/>
                <w:szCs w:val="20"/>
              </w:rPr>
              <w:t>Reclami e richieste di rettifica degli importi addebitati</w:t>
            </w:r>
            <w:r w:rsidR="00896317" w:rsidRPr="00896317">
              <w:rPr>
                <w:noProof/>
                <w:webHidden/>
                <w:sz w:val="20"/>
                <w:szCs w:val="20"/>
              </w:rPr>
              <w:tab/>
            </w:r>
            <w:r w:rsidR="00896317" w:rsidRPr="00896317">
              <w:rPr>
                <w:noProof/>
                <w:webHidden/>
                <w:sz w:val="20"/>
                <w:szCs w:val="20"/>
              </w:rPr>
              <w:fldChar w:fldCharType="begin"/>
            </w:r>
            <w:r w:rsidR="00896317" w:rsidRPr="00896317">
              <w:rPr>
                <w:noProof/>
                <w:webHidden/>
                <w:sz w:val="20"/>
                <w:szCs w:val="20"/>
              </w:rPr>
              <w:instrText xml:space="preserve"> PAGEREF _Toc121591183 \h </w:instrText>
            </w:r>
            <w:r w:rsidR="00896317" w:rsidRPr="00896317">
              <w:rPr>
                <w:noProof/>
                <w:webHidden/>
                <w:sz w:val="20"/>
                <w:szCs w:val="20"/>
              </w:rPr>
            </w:r>
            <w:r w:rsidR="00896317" w:rsidRPr="00896317">
              <w:rPr>
                <w:noProof/>
                <w:webHidden/>
                <w:sz w:val="20"/>
                <w:szCs w:val="20"/>
              </w:rPr>
              <w:fldChar w:fldCharType="separate"/>
            </w:r>
            <w:r w:rsidR="0025534C">
              <w:rPr>
                <w:noProof/>
                <w:webHidden/>
                <w:sz w:val="20"/>
                <w:szCs w:val="20"/>
              </w:rPr>
              <w:t>5</w:t>
            </w:r>
            <w:r w:rsidR="00896317" w:rsidRPr="00896317">
              <w:rPr>
                <w:noProof/>
                <w:webHidden/>
                <w:sz w:val="20"/>
                <w:szCs w:val="20"/>
              </w:rPr>
              <w:fldChar w:fldCharType="end"/>
            </w:r>
          </w:hyperlink>
        </w:p>
        <w:p w14:paraId="010CD9E2" w14:textId="58B28027" w:rsidR="00896317" w:rsidRPr="00896317" w:rsidRDefault="00000000" w:rsidP="00896317">
          <w:pPr>
            <w:pStyle w:val="Sommario2"/>
            <w:spacing w:after="40" w:line="252" w:lineRule="auto"/>
            <w:ind w:hanging="1134"/>
            <w:rPr>
              <w:rFonts w:asciiTheme="minorHAnsi" w:eastAsiaTheme="minorEastAsia" w:hAnsiTheme="minorHAnsi" w:cstheme="minorBidi"/>
              <w:noProof/>
              <w:sz w:val="20"/>
              <w:szCs w:val="20"/>
            </w:rPr>
          </w:pPr>
          <w:hyperlink w:anchor="_Toc121591184" w:history="1">
            <w:r w:rsidR="00896317" w:rsidRPr="00896317">
              <w:rPr>
                <w:rStyle w:val="Collegamentoipertestuale"/>
                <w:rFonts w:ascii="Bookman Old Style" w:hAnsi="Bookman Old Style"/>
                <w:i/>
                <w:iCs/>
                <w:noProof/>
                <w:sz w:val="20"/>
                <w:szCs w:val="20"/>
              </w:rPr>
              <w:t>Modalità di versamento e sollecito di pagamento</w:t>
            </w:r>
            <w:r w:rsidR="00896317" w:rsidRPr="00896317">
              <w:rPr>
                <w:noProof/>
                <w:webHidden/>
                <w:sz w:val="20"/>
                <w:szCs w:val="20"/>
              </w:rPr>
              <w:tab/>
            </w:r>
            <w:r w:rsidR="00896317" w:rsidRPr="00896317">
              <w:rPr>
                <w:noProof/>
                <w:webHidden/>
                <w:sz w:val="20"/>
                <w:szCs w:val="20"/>
              </w:rPr>
              <w:fldChar w:fldCharType="begin"/>
            </w:r>
            <w:r w:rsidR="00896317" w:rsidRPr="00896317">
              <w:rPr>
                <w:noProof/>
                <w:webHidden/>
                <w:sz w:val="20"/>
                <w:szCs w:val="20"/>
              </w:rPr>
              <w:instrText xml:space="preserve"> PAGEREF _Toc121591184 \h </w:instrText>
            </w:r>
            <w:r w:rsidR="00896317" w:rsidRPr="00896317">
              <w:rPr>
                <w:noProof/>
                <w:webHidden/>
                <w:sz w:val="20"/>
                <w:szCs w:val="20"/>
              </w:rPr>
            </w:r>
            <w:r w:rsidR="00896317" w:rsidRPr="00896317">
              <w:rPr>
                <w:noProof/>
                <w:webHidden/>
                <w:sz w:val="20"/>
                <w:szCs w:val="20"/>
              </w:rPr>
              <w:fldChar w:fldCharType="separate"/>
            </w:r>
            <w:r w:rsidR="0025534C">
              <w:rPr>
                <w:noProof/>
                <w:webHidden/>
                <w:sz w:val="20"/>
                <w:szCs w:val="20"/>
              </w:rPr>
              <w:t>5</w:t>
            </w:r>
            <w:r w:rsidR="00896317" w:rsidRPr="00896317">
              <w:rPr>
                <w:noProof/>
                <w:webHidden/>
                <w:sz w:val="20"/>
                <w:szCs w:val="20"/>
              </w:rPr>
              <w:fldChar w:fldCharType="end"/>
            </w:r>
          </w:hyperlink>
        </w:p>
        <w:p w14:paraId="650F581D" w14:textId="286534CD" w:rsidR="00896317" w:rsidRPr="00896317" w:rsidRDefault="00000000" w:rsidP="00896317">
          <w:pPr>
            <w:pStyle w:val="Sommario2"/>
            <w:spacing w:after="40" w:line="252" w:lineRule="auto"/>
            <w:ind w:hanging="1134"/>
            <w:rPr>
              <w:rFonts w:asciiTheme="minorHAnsi" w:eastAsiaTheme="minorEastAsia" w:hAnsiTheme="minorHAnsi" w:cstheme="minorBidi"/>
              <w:noProof/>
              <w:sz w:val="20"/>
              <w:szCs w:val="20"/>
            </w:rPr>
          </w:pPr>
          <w:hyperlink w:anchor="_Toc121591185" w:history="1">
            <w:r w:rsidR="00896317" w:rsidRPr="00896317">
              <w:rPr>
                <w:rStyle w:val="Collegamentoipertestuale"/>
                <w:rFonts w:ascii="Bookman Old Style" w:hAnsi="Bookman Old Style"/>
                <w:i/>
                <w:iCs/>
                <w:noProof/>
                <w:sz w:val="20"/>
                <w:szCs w:val="20"/>
              </w:rPr>
              <w:t>Rateizzazione degli avvisi bonari TARI</w:t>
            </w:r>
            <w:r w:rsidR="00896317" w:rsidRPr="00896317">
              <w:rPr>
                <w:noProof/>
                <w:webHidden/>
                <w:sz w:val="20"/>
                <w:szCs w:val="20"/>
              </w:rPr>
              <w:tab/>
            </w:r>
            <w:r w:rsidR="00896317" w:rsidRPr="00896317">
              <w:rPr>
                <w:noProof/>
                <w:webHidden/>
                <w:sz w:val="20"/>
                <w:szCs w:val="20"/>
              </w:rPr>
              <w:fldChar w:fldCharType="begin"/>
            </w:r>
            <w:r w:rsidR="00896317" w:rsidRPr="00896317">
              <w:rPr>
                <w:noProof/>
                <w:webHidden/>
                <w:sz w:val="20"/>
                <w:szCs w:val="20"/>
              </w:rPr>
              <w:instrText xml:space="preserve"> PAGEREF _Toc121591185 \h </w:instrText>
            </w:r>
            <w:r w:rsidR="00896317" w:rsidRPr="00896317">
              <w:rPr>
                <w:noProof/>
                <w:webHidden/>
                <w:sz w:val="20"/>
                <w:szCs w:val="20"/>
              </w:rPr>
            </w:r>
            <w:r w:rsidR="00896317" w:rsidRPr="00896317">
              <w:rPr>
                <w:noProof/>
                <w:webHidden/>
                <w:sz w:val="20"/>
                <w:szCs w:val="20"/>
              </w:rPr>
              <w:fldChar w:fldCharType="separate"/>
            </w:r>
            <w:r w:rsidR="0025534C">
              <w:rPr>
                <w:noProof/>
                <w:webHidden/>
                <w:sz w:val="20"/>
                <w:szCs w:val="20"/>
              </w:rPr>
              <w:t>6</w:t>
            </w:r>
            <w:r w:rsidR="00896317" w:rsidRPr="00896317">
              <w:rPr>
                <w:noProof/>
                <w:webHidden/>
                <w:sz w:val="20"/>
                <w:szCs w:val="20"/>
              </w:rPr>
              <w:fldChar w:fldCharType="end"/>
            </w:r>
          </w:hyperlink>
        </w:p>
        <w:p w14:paraId="18B44667" w14:textId="276DC68B" w:rsidR="00896317" w:rsidRPr="00896317" w:rsidRDefault="00000000" w:rsidP="00896317">
          <w:pPr>
            <w:pStyle w:val="Sommario2"/>
            <w:spacing w:after="40" w:line="252" w:lineRule="auto"/>
            <w:ind w:hanging="1134"/>
            <w:rPr>
              <w:rFonts w:asciiTheme="minorHAnsi" w:eastAsiaTheme="minorEastAsia" w:hAnsiTheme="minorHAnsi" w:cstheme="minorBidi"/>
              <w:noProof/>
              <w:sz w:val="20"/>
              <w:szCs w:val="20"/>
            </w:rPr>
          </w:pPr>
          <w:hyperlink w:anchor="_Toc121591186" w:history="1">
            <w:r w:rsidR="00896317" w:rsidRPr="00896317">
              <w:rPr>
                <w:rStyle w:val="Collegamentoipertestuale"/>
                <w:rFonts w:ascii="Bookman Old Style" w:hAnsi="Bookman Old Style"/>
                <w:i/>
                <w:iCs/>
                <w:noProof/>
                <w:sz w:val="20"/>
                <w:szCs w:val="20"/>
              </w:rPr>
              <w:t>Carta della qualità del servizio</w:t>
            </w:r>
            <w:r w:rsidR="00896317" w:rsidRPr="00896317">
              <w:rPr>
                <w:noProof/>
                <w:webHidden/>
                <w:sz w:val="20"/>
                <w:szCs w:val="20"/>
              </w:rPr>
              <w:tab/>
            </w:r>
            <w:r w:rsidR="00896317" w:rsidRPr="00896317">
              <w:rPr>
                <w:noProof/>
                <w:webHidden/>
                <w:sz w:val="20"/>
                <w:szCs w:val="20"/>
              </w:rPr>
              <w:fldChar w:fldCharType="begin"/>
            </w:r>
            <w:r w:rsidR="00896317" w:rsidRPr="00896317">
              <w:rPr>
                <w:noProof/>
                <w:webHidden/>
                <w:sz w:val="20"/>
                <w:szCs w:val="20"/>
              </w:rPr>
              <w:instrText xml:space="preserve"> PAGEREF _Toc121591186 \h </w:instrText>
            </w:r>
            <w:r w:rsidR="00896317" w:rsidRPr="00896317">
              <w:rPr>
                <w:noProof/>
                <w:webHidden/>
                <w:sz w:val="20"/>
                <w:szCs w:val="20"/>
              </w:rPr>
            </w:r>
            <w:r w:rsidR="00896317" w:rsidRPr="00896317">
              <w:rPr>
                <w:noProof/>
                <w:webHidden/>
                <w:sz w:val="20"/>
                <w:szCs w:val="20"/>
              </w:rPr>
              <w:fldChar w:fldCharType="separate"/>
            </w:r>
            <w:r w:rsidR="0025534C">
              <w:rPr>
                <w:noProof/>
                <w:webHidden/>
                <w:sz w:val="20"/>
                <w:szCs w:val="20"/>
              </w:rPr>
              <w:t>6</w:t>
            </w:r>
            <w:r w:rsidR="00896317" w:rsidRPr="00896317">
              <w:rPr>
                <w:noProof/>
                <w:webHidden/>
                <w:sz w:val="20"/>
                <w:szCs w:val="20"/>
              </w:rPr>
              <w:fldChar w:fldCharType="end"/>
            </w:r>
          </w:hyperlink>
        </w:p>
        <w:p w14:paraId="56FD91A4" w14:textId="30910087" w:rsidR="00896317" w:rsidRPr="00896317" w:rsidRDefault="00000000" w:rsidP="00896317">
          <w:pPr>
            <w:pStyle w:val="Sommario2"/>
            <w:spacing w:after="40" w:line="252" w:lineRule="auto"/>
            <w:rPr>
              <w:rFonts w:asciiTheme="minorHAnsi" w:eastAsiaTheme="minorEastAsia" w:hAnsiTheme="minorHAnsi" w:cstheme="minorBidi"/>
              <w:noProof/>
              <w:sz w:val="20"/>
              <w:szCs w:val="20"/>
            </w:rPr>
          </w:pPr>
          <w:hyperlink w:anchor="_Toc121591187" w:history="1">
            <w:r w:rsidR="00896317" w:rsidRPr="00896317">
              <w:rPr>
                <w:rStyle w:val="Collegamentoipertestuale"/>
                <w:rFonts w:ascii="Bookman Old Style" w:hAnsi="Bookman Old Style"/>
                <w:noProof/>
                <w:sz w:val="20"/>
                <w:szCs w:val="20"/>
              </w:rPr>
              <w:t>Articolo X1 – Dichiarazione</w:t>
            </w:r>
            <w:r w:rsidR="00896317" w:rsidRPr="00896317">
              <w:rPr>
                <w:noProof/>
                <w:webHidden/>
                <w:sz w:val="20"/>
                <w:szCs w:val="20"/>
              </w:rPr>
              <w:tab/>
            </w:r>
            <w:r w:rsidR="00896317" w:rsidRPr="00896317">
              <w:rPr>
                <w:noProof/>
                <w:webHidden/>
                <w:sz w:val="20"/>
                <w:szCs w:val="20"/>
              </w:rPr>
              <w:fldChar w:fldCharType="begin"/>
            </w:r>
            <w:r w:rsidR="00896317" w:rsidRPr="00896317">
              <w:rPr>
                <w:noProof/>
                <w:webHidden/>
                <w:sz w:val="20"/>
                <w:szCs w:val="20"/>
              </w:rPr>
              <w:instrText xml:space="preserve"> PAGEREF _Toc121591187 \h </w:instrText>
            </w:r>
            <w:r w:rsidR="00896317" w:rsidRPr="00896317">
              <w:rPr>
                <w:noProof/>
                <w:webHidden/>
                <w:sz w:val="20"/>
                <w:szCs w:val="20"/>
              </w:rPr>
            </w:r>
            <w:r w:rsidR="00896317" w:rsidRPr="00896317">
              <w:rPr>
                <w:noProof/>
                <w:webHidden/>
                <w:sz w:val="20"/>
                <w:szCs w:val="20"/>
              </w:rPr>
              <w:fldChar w:fldCharType="separate"/>
            </w:r>
            <w:r w:rsidR="0025534C">
              <w:rPr>
                <w:noProof/>
                <w:webHidden/>
                <w:sz w:val="20"/>
                <w:szCs w:val="20"/>
              </w:rPr>
              <w:t>8</w:t>
            </w:r>
            <w:r w:rsidR="00896317" w:rsidRPr="00896317">
              <w:rPr>
                <w:noProof/>
                <w:webHidden/>
                <w:sz w:val="20"/>
                <w:szCs w:val="20"/>
              </w:rPr>
              <w:fldChar w:fldCharType="end"/>
            </w:r>
          </w:hyperlink>
        </w:p>
        <w:p w14:paraId="58C93192" w14:textId="0C1869E4" w:rsidR="00896317" w:rsidRPr="00DC1FAB" w:rsidRDefault="00000000" w:rsidP="00896317">
          <w:pPr>
            <w:pStyle w:val="Sommario2"/>
            <w:spacing w:after="40" w:line="252" w:lineRule="auto"/>
            <w:rPr>
              <w:rStyle w:val="Collegamentoipertestuale"/>
              <w:rFonts w:ascii="Bookman Old Style" w:hAnsi="Bookman Old Style"/>
            </w:rPr>
          </w:pPr>
          <w:hyperlink w:anchor="_Toc121591188" w:history="1">
            <w:r w:rsidR="00896317" w:rsidRPr="00896317">
              <w:rPr>
                <w:rStyle w:val="Collegamentoipertestuale"/>
                <w:rFonts w:ascii="Bookman Old Style" w:hAnsi="Bookman Old Style"/>
                <w:noProof/>
                <w:sz w:val="20"/>
                <w:szCs w:val="20"/>
              </w:rPr>
              <w:t>Articolo X2 –</w:t>
            </w:r>
            <w:r w:rsidR="00896317" w:rsidRPr="00DC1FAB">
              <w:rPr>
                <w:rStyle w:val="Collegamentoipertestuale"/>
                <w:rFonts w:ascii="Bookman Old Style" w:hAnsi="Bookman Old Style"/>
                <w:noProof/>
                <w:sz w:val="20"/>
                <w:szCs w:val="20"/>
              </w:rPr>
              <w:t>Reclami e richieste scritte di informazioni e di rettifica degli importi addebitati</w:t>
            </w:r>
            <w:r w:rsidR="00896317" w:rsidRPr="00DC1FAB">
              <w:rPr>
                <w:rStyle w:val="Collegamentoipertestuale"/>
                <w:rFonts w:ascii="Bookman Old Style" w:hAnsi="Bookman Old Style"/>
                <w:webHidden/>
              </w:rPr>
              <w:tab/>
            </w:r>
            <w:r w:rsidR="00896317" w:rsidRPr="00DC1FAB">
              <w:rPr>
                <w:rStyle w:val="Collegamentoipertestuale"/>
                <w:rFonts w:ascii="Bookman Old Style" w:hAnsi="Bookman Old Style"/>
                <w:webHidden/>
              </w:rPr>
              <w:fldChar w:fldCharType="begin"/>
            </w:r>
            <w:r w:rsidR="00896317" w:rsidRPr="00DC1FAB">
              <w:rPr>
                <w:rStyle w:val="Collegamentoipertestuale"/>
                <w:rFonts w:ascii="Bookman Old Style" w:hAnsi="Bookman Old Style"/>
                <w:webHidden/>
              </w:rPr>
              <w:instrText xml:space="preserve"> PAGEREF _Toc121591188 \h </w:instrText>
            </w:r>
            <w:r w:rsidR="00896317" w:rsidRPr="00DC1FAB">
              <w:rPr>
                <w:rStyle w:val="Collegamentoipertestuale"/>
                <w:rFonts w:ascii="Bookman Old Style" w:hAnsi="Bookman Old Style"/>
                <w:webHidden/>
              </w:rPr>
            </w:r>
            <w:r w:rsidR="00896317" w:rsidRPr="00DC1FAB">
              <w:rPr>
                <w:rStyle w:val="Collegamentoipertestuale"/>
                <w:rFonts w:ascii="Bookman Old Style" w:hAnsi="Bookman Old Style"/>
                <w:webHidden/>
              </w:rPr>
              <w:fldChar w:fldCharType="separate"/>
            </w:r>
            <w:r w:rsidR="0025534C" w:rsidRPr="00DC1FAB">
              <w:rPr>
                <w:rStyle w:val="Collegamentoipertestuale"/>
                <w:rFonts w:ascii="Bookman Old Style" w:hAnsi="Bookman Old Style"/>
                <w:webHidden/>
              </w:rPr>
              <w:t>11</w:t>
            </w:r>
            <w:r w:rsidR="00896317" w:rsidRPr="00DC1FAB">
              <w:rPr>
                <w:rStyle w:val="Collegamentoipertestuale"/>
                <w:rFonts w:ascii="Bookman Old Style" w:hAnsi="Bookman Old Style"/>
                <w:webHidden/>
              </w:rPr>
              <w:fldChar w:fldCharType="end"/>
            </w:r>
          </w:hyperlink>
        </w:p>
        <w:p w14:paraId="397F8495" w14:textId="4DD0A157" w:rsidR="00896317" w:rsidRPr="00896317" w:rsidRDefault="00000000" w:rsidP="00896317">
          <w:pPr>
            <w:pStyle w:val="Sommario2"/>
            <w:spacing w:after="40" w:line="252" w:lineRule="auto"/>
            <w:rPr>
              <w:rFonts w:asciiTheme="minorHAnsi" w:eastAsiaTheme="minorEastAsia" w:hAnsiTheme="minorHAnsi" w:cstheme="minorBidi"/>
              <w:noProof/>
              <w:sz w:val="20"/>
              <w:szCs w:val="20"/>
            </w:rPr>
          </w:pPr>
          <w:hyperlink w:anchor="_Toc121591189" w:history="1">
            <w:r w:rsidR="00896317" w:rsidRPr="00896317">
              <w:rPr>
                <w:rStyle w:val="Collegamentoipertestuale"/>
                <w:rFonts w:ascii="Bookman Old Style" w:hAnsi="Bookman Old Style"/>
                <w:noProof/>
                <w:sz w:val="20"/>
                <w:szCs w:val="20"/>
              </w:rPr>
              <w:t>Articolo X3 – Modalità di versamento e sollecito di pagamento</w:t>
            </w:r>
            <w:r w:rsidR="00896317" w:rsidRPr="00896317">
              <w:rPr>
                <w:noProof/>
                <w:webHidden/>
                <w:sz w:val="20"/>
                <w:szCs w:val="20"/>
              </w:rPr>
              <w:tab/>
            </w:r>
            <w:r w:rsidR="00896317" w:rsidRPr="00896317">
              <w:rPr>
                <w:noProof/>
                <w:webHidden/>
                <w:sz w:val="20"/>
                <w:szCs w:val="20"/>
              </w:rPr>
              <w:fldChar w:fldCharType="begin"/>
            </w:r>
            <w:r w:rsidR="00896317" w:rsidRPr="00896317">
              <w:rPr>
                <w:noProof/>
                <w:webHidden/>
                <w:sz w:val="20"/>
                <w:szCs w:val="20"/>
              </w:rPr>
              <w:instrText xml:space="preserve"> PAGEREF _Toc121591189 \h </w:instrText>
            </w:r>
            <w:r w:rsidR="00896317" w:rsidRPr="00896317">
              <w:rPr>
                <w:noProof/>
                <w:webHidden/>
                <w:sz w:val="20"/>
                <w:szCs w:val="20"/>
              </w:rPr>
            </w:r>
            <w:r w:rsidR="00896317" w:rsidRPr="00896317">
              <w:rPr>
                <w:noProof/>
                <w:webHidden/>
                <w:sz w:val="20"/>
                <w:szCs w:val="20"/>
              </w:rPr>
              <w:fldChar w:fldCharType="separate"/>
            </w:r>
            <w:r w:rsidR="0025534C">
              <w:rPr>
                <w:noProof/>
                <w:webHidden/>
                <w:sz w:val="20"/>
                <w:szCs w:val="20"/>
              </w:rPr>
              <w:t>13</w:t>
            </w:r>
            <w:r w:rsidR="00896317" w:rsidRPr="00896317">
              <w:rPr>
                <w:noProof/>
                <w:webHidden/>
                <w:sz w:val="20"/>
                <w:szCs w:val="20"/>
              </w:rPr>
              <w:fldChar w:fldCharType="end"/>
            </w:r>
          </w:hyperlink>
        </w:p>
        <w:p w14:paraId="6C0E1A19" w14:textId="0BC8913C" w:rsidR="00896317" w:rsidRPr="00896317" w:rsidRDefault="00000000" w:rsidP="00896317">
          <w:pPr>
            <w:pStyle w:val="Sommario2"/>
            <w:spacing w:after="40" w:line="252" w:lineRule="auto"/>
            <w:rPr>
              <w:rFonts w:asciiTheme="minorHAnsi" w:eastAsiaTheme="minorEastAsia" w:hAnsiTheme="minorHAnsi" w:cstheme="minorBidi"/>
              <w:noProof/>
              <w:sz w:val="20"/>
              <w:szCs w:val="20"/>
            </w:rPr>
          </w:pPr>
          <w:hyperlink w:anchor="_Toc121591190" w:history="1">
            <w:r w:rsidR="00896317" w:rsidRPr="00896317">
              <w:rPr>
                <w:rStyle w:val="Collegamentoipertestuale"/>
                <w:rFonts w:ascii="Bookman Old Style" w:hAnsi="Bookman Old Style"/>
                <w:noProof/>
                <w:sz w:val="20"/>
                <w:szCs w:val="20"/>
              </w:rPr>
              <w:t>Articolo X4 – Rateizzazione degli avvisi bonari TARI</w:t>
            </w:r>
            <w:r w:rsidR="00896317" w:rsidRPr="00896317">
              <w:rPr>
                <w:noProof/>
                <w:webHidden/>
                <w:sz w:val="20"/>
                <w:szCs w:val="20"/>
              </w:rPr>
              <w:tab/>
            </w:r>
            <w:r w:rsidR="00896317" w:rsidRPr="00896317">
              <w:rPr>
                <w:noProof/>
                <w:webHidden/>
                <w:sz w:val="20"/>
                <w:szCs w:val="20"/>
              </w:rPr>
              <w:fldChar w:fldCharType="begin"/>
            </w:r>
            <w:r w:rsidR="00896317" w:rsidRPr="00896317">
              <w:rPr>
                <w:noProof/>
                <w:webHidden/>
                <w:sz w:val="20"/>
                <w:szCs w:val="20"/>
              </w:rPr>
              <w:instrText xml:space="preserve"> PAGEREF _Toc121591190 \h </w:instrText>
            </w:r>
            <w:r w:rsidR="00896317" w:rsidRPr="00896317">
              <w:rPr>
                <w:noProof/>
                <w:webHidden/>
                <w:sz w:val="20"/>
                <w:szCs w:val="20"/>
              </w:rPr>
            </w:r>
            <w:r w:rsidR="00896317" w:rsidRPr="00896317">
              <w:rPr>
                <w:noProof/>
                <w:webHidden/>
                <w:sz w:val="20"/>
                <w:szCs w:val="20"/>
              </w:rPr>
              <w:fldChar w:fldCharType="separate"/>
            </w:r>
            <w:r w:rsidR="0025534C">
              <w:rPr>
                <w:noProof/>
                <w:webHidden/>
                <w:sz w:val="20"/>
                <w:szCs w:val="20"/>
              </w:rPr>
              <w:t>16</w:t>
            </w:r>
            <w:r w:rsidR="00896317" w:rsidRPr="00896317">
              <w:rPr>
                <w:noProof/>
                <w:webHidden/>
                <w:sz w:val="20"/>
                <w:szCs w:val="20"/>
              </w:rPr>
              <w:fldChar w:fldCharType="end"/>
            </w:r>
          </w:hyperlink>
        </w:p>
        <w:p w14:paraId="740C2658" w14:textId="2BD12019" w:rsidR="00896317" w:rsidRPr="00896317" w:rsidRDefault="00000000" w:rsidP="00896317">
          <w:pPr>
            <w:pStyle w:val="Sommario2"/>
            <w:spacing w:after="40" w:line="252" w:lineRule="auto"/>
            <w:rPr>
              <w:rFonts w:asciiTheme="minorHAnsi" w:eastAsiaTheme="minorEastAsia" w:hAnsiTheme="minorHAnsi" w:cstheme="minorBidi"/>
              <w:noProof/>
              <w:sz w:val="20"/>
              <w:szCs w:val="20"/>
            </w:rPr>
          </w:pPr>
          <w:hyperlink w:anchor="_Toc121591191" w:history="1">
            <w:r w:rsidR="00896317" w:rsidRPr="00896317">
              <w:rPr>
                <w:rStyle w:val="Collegamentoipertestuale"/>
                <w:rFonts w:ascii="Bookman Old Style" w:hAnsi="Bookman Old Style"/>
                <w:noProof/>
                <w:sz w:val="20"/>
                <w:szCs w:val="20"/>
              </w:rPr>
              <w:t>Articolo X5 – Rimborsi e compensazione</w:t>
            </w:r>
            <w:r w:rsidR="00896317" w:rsidRPr="00896317">
              <w:rPr>
                <w:noProof/>
                <w:webHidden/>
                <w:sz w:val="20"/>
                <w:szCs w:val="20"/>
              </w:rPr>
              <w:tab/>
            </w:r>
            <w:r w:rsidR="00896317" w:rsidRPr="00896317">
              <w:rPr>
                <w:noProof/>
                <w:webHidden/>
                <w:sz w:val="20"/>
                <w:szCs w:val="20"/>
              </w:rPr>
              <w:fldChar w:fldCharType="begin"/>
            </w:r>
            <w:r w:rsidR="00896317" w:rsidRPr="00896317">
              <w:rPr>
                <w:noProof/>
                <w:webHidden/>
                <w:sz w:val="20"/>
                <w:szCs w:val="20"/>
              </w:rPr>
              <w:instrText xml:space="preserve"> PAGEREF _Toc121591191 \h </w:instrText>
            </w:r>
            <w:r w:rsidR="00896317" w:rsidRPr="00896317">
              <w:rPr>
                <w:noProof/>
                <w:webHidden/>
                <w:sz w:val="20"/>
                <w:szCs w:val="20"/>
              </w:rPr>
            </w:r>
            <w:r w:rsidR="00896317" w:rsidRPr="00896317">
              <w:rPr>
                <w:noProof/>
                <w:webHidden/>
                <w:sz w:val="20"/>
                <w:szCs w:val="20"/>
              </w:rPr>
              <w:fldChar w:fldCharType="separate"/>
            </w:r>
            <w:r w:rsidR="0025534C">
              <w:rPr>
                <w:noProof/>
                <w:webHidden/>
                <w:sz w:val="20"/>
                <w:szCs w:val="20"/>
              </w:rPr>
              <w:t>18</w:t>
            </w:r>
            <w:r w:rsidR="00896317" w:rsidRPr="00896317">
              <w:rPr>
                <w:noProof/>
                <w:webHidden/>
                <w:sz w:val="20"/>
                <w:szCs w:val="20"/>
              </w:rPr>
              <w:fldChar w:fldCharType="end"/>
            </w:r>
          </w:hyperlink>
        </w:p>
        <w:p w14:paraId="1127E227" w14:textId="0D8921BC" w:rsidR="00896317" w:rsidRPr="00896317" w:rsidRDefault="00000000" w:rsidP="00896317">
          <w:pPr>
            <w:pStyle w:val="Sommario2"/>
            <w:spacing w:after="40" w:line="252" w:lineRule="auto"/>
            <w:rPr>
              <w:rFonts w:asciiTheme="minorHAnsi" w:eastAsiaTheme="minorEastAsia" w:hAnsiTheme="minorHAnsi" w:cstheme="minorBidi"/>
              <w:noProof/>
              <w:sz w:val="20"/>
              <w:szCs w:val="20"/>
            </w:rPr>
          </w:pPr>
          <w:hyperlink w:anchor="_Toc121591192" w:history="1">
            <w:r w:rsidR="00896317" w:rsidRPr="00896317">
              <w:rPr>
                <w:rStyle w:val="Collegamentoipertestuale"/>
                <w:rFonts w:ascii="Bookman Old Style" w:hAnsi="Bookman Old Style"/>
                <w:noProof/>
                <w:sz w:val="20"/>
                <w:szCs w:val="20"/>
              </w:rPr>
              <w:t>Articolo X6 – Norme di rinvio e clausola di salvaguardia</w:t>
            </w:r>
            <w:r w:rsidR="00896317" w:rsidRPr="00896317">
              <w:rPr>
                <w:noProof/>
                <w:webHidden/>
                <w:sz w:val="20"/>
                <w:szCs w:val="20"/>
              </w:rPr>
              <w:tab/>
            </w:r>
            <w:r w:rsidR="00896317" w:rsidRPr="00896317">
              <w:rPr>
                <w:noProof/>
                <w:webHidden/>
                <w:sz w:val="20"/>
                <w:szCs w:val="20"/>
              </w:rPr>
              <w:fldChar w:fldCharType="begin"/>
            </w:r>
            <w:r w:rsidR="00896317" w:rsidRPr="00896317">
              <w:rPr>
                <w:noProof/>
                <w:webHidden/>
                <w:sz w:val="20"/>
                <w:szCs w:val="20"/>
              </w:rPr>
              <w:instrText xml:space="preserve"> PAGEREF _Toc121591192 \h </w:instrText>
            </w:r>
            <w:r w:rsidR="00896317" w:rsidRPr="00896317">
              <w:rPr>
                <w:noProof/>
                <w:webHidden/>
                <w:sz w:val="20"/>
                <w:szCs w:val="20"/>
              </w:rPr>
            </w:r>
            <w:r w:rsidR="00896317" w:rsidRPr="00896317">
              <w:rPr>
                <w:noProof/>
                <w:webHidden/>
                <w:sz w:val="20"/>
                <w:szCs w:val="20"/>
              </w:rPr>
              <w:fldChar w:fldCharType="separate"/>
            </w:r>
            <w:r w:rsidR="0025534C">
              <w:rPr>
                <w:noProof/>
                <w:webHidden/>
                <w:sz w:val="20"/>
                <w:szCs w:val="20"/>
              </w:rPr>
              <w:t>19</w:t>
            </w:r>
            <w:r w:rsidR="00896317" w:rsidRPr="00896317">
              <w:rPr>
                <w:noProof/>
                <w:webHidden/>
                <w:sz w:val="20"/>
                <w:szCs w:val="20"/>
              </w:rPr>
              <w:fldChar w:fldCharType="end"/>
            </w:r>
          </w:hyperlink>
        </w:p>
        <w:p w14:paraId="421BA019" w14:textId="09A66CC4" w:rsidR="00896317" w:rsidRPr="00896317" w:rsidRDefault="00000000" w:rsidP="0025534C">
          <w:pPr>
            <w:pStyle w:val="Sommario2"/>
            <w:spacing w:after="40" w:line="252" w:lineRule="auto"/>
            <w:ind w:left="1418" w:hanging="1276"/>
            <w:rPr>
              <w:rFonts w:asciiTheme="minorHAnsi" w:eastAsiaTheme="minorEastAsia" w:hAnsiTheme="minorHAnsi" w:cstheme="minorBidi"/>
              <w:noProof/>
              <w:sz w:val="20"/>
              <w:szCs w:val="20"/>
            </w:rPr>
          </w:pPr>
          <w:hyperlink w:anchor="_Toc121591193" w:history="1">
            <w:r w:rsidR="00896317" w:rsidRPr="00896317">
              <w:rPr>
                <w:rStyle w:val="Collegamentoipertestuale"/>
                <w:rFonts w:ascii="Bookman Old Style" w:hAnsi="Bookman Old Style"/>
                <w:noProof/>
                <w:sz w:val="20"/>
                <w:szCs w:val="20"/>
              </w:rPr>
              <w:t>Articolo X6 – Avvio autonomo a recupero dei rifiuti urbani ai sensi dell’art. 198 comma 2-bis e dell’art. 238 comma 10 del d.lgs. n. 152/2006</w:t>
            </w:r>
            <w:r w:rsidR="00896317" w:rsidRPr="00896317">
              <w:rPr>
                <w:noProof/>
                <w:webHidden/>
                <w:sz w:val="20"/>
                <w:szCs w:val="20"/>
              </w:rPr>
              <w:tab/>
            </w:r>
            <w:r w:rsidR="00896317" w:rsidRPr="00896317">
              <w:rPr>
                <w:noProof/>
                <w:webHidden/>
                <w:sz w:val="20"/>
                <w:szCs w:val="20"/>
              </w:rPr>
              <w:fldChar w:fldCharType="begin"/>
            </w:r>
            <w:r w:rsidR="00896317" w:rsidRPr="00896317">
              <w:rPr>
                <w:noProof/>
                <w:webHidden/>
                <w:sz w:val="20"/>
                <w:szCs w:val="20"/>
              </w:rPr>
              <w:instrText xml:space="preserve"> PAGEREF _Toc121591193 \h </w:instrText>
            </w:r>
            <w:r w:rsidR="00896317" w:rsidRPr="00896317">
              <w:rPr>
                <w:noProof/>
                <w:webHidden/>
                <w:sz w:val="20"/>
                <w:szCs w:val="20"/>
              </w:rPr>
            </w:r>
            <w:r w:rsidR="00896317" w:rsidRPr="00896317">
              <w:rPr>
                <w:noProof/>
                <w:webHidden/>
                <w:sz w:val="20"/>
                <w:szCs w:val="20"/>
              </w:rPr>
              <w:fldChar w:fldCharType="separate"/>
            </w:r>
            <w:r w:rsidR="0025534C">
              <w:rPr>
                <w:noProof/>
                <w:webHidden/>
                <w:sz w:val="20"/>
                <w:szCs w:val="20"/>
              </w:rPr>
              <w:t>20</w:t>
            </w:r>
            <w:r w:rsidR="00896317" w:rsidRPr="00896317">
              <w:rPr>
                <w:noProof/>
                <w:webHidden/>
                <w:sz w:val="20"/>
                <w:szCs w:val="20"/>
              </w:rPr>
              <w:fldChar w:fldCharType="end"/>
            </w:r>
          </w:hyperlink>
        </w:p>
        <w:p w14:paraId="38D9C62F" w14:textId="3DB318AF" w:rsidR="00896317" w:rsidRPr="00896317" w:rsidRDefault="00000000" w:rsidP="00896317">
          <w:pPr>
            <w:pStyle w:val="Sommario2"/>
            <w:spacing w:after="40" w:line="252" w:lineRule="auto"/>
            <w:rPr>
              <w:rFonts w:asciiTheme="minorHAnsi" w:eastAsiaTheme="minorEastAsia" w:hAnsiTheme="minorHAnsi" w:cstheme="minorBidi"/>
              <w:noProof/>
              <w:sz w:val="20"/>
              <w:szCs w:val="20"/>
            </w:rPr>
          </w:pPr>
          <w:hyperlink w:anchor="_Toc121591194" w:history="1">
            <w:r w:rsidR="00896317" w:rsidRPr="00896317">
              <w:rPr>
                <w:rStyle w:val="Collegamentoipertestuale"/>
                <w:rFonts w:ascii="Bookman Old Style" w:hAnsi="Bookman Old Style"/>
                <w:noProof/>
                <w:sz w:val="20"/>
                <w:szCs w:val="20"/>
              </w:rPr>
              <w:t>Articolo X7 –Obblighi di comunicazione per l’utenza non domestica</w:t>
            </w:r>
            <w:r w:rsidR="00896317" w:rsidRPr="00896317">
              <w:rPr>
                <w:noProof/>
                <w:webHidden/>
                <w:sz w:val="20"/>
                <w:szCs w:val="20"/>
              </w:rPr>
              <w:tab/>
            </w:r>
            <w:r w:rsidR="00896317" w:rsidRPr="00896317">
              <w:rPr>
                <w:noProof/>
                <w:webHidden/>
                <w:sz w:val="20"/>
                <w:szCs w:val="20"/>
              </w:rPr>
              <w:fldChar w:fldCharType="begin"/>
            </w:r>
            <w:r w:rsidR="00896317" w:rsidRPr="00896317">
              <w:rPr>
                <w:noProof/>
                <w:webHidden/>
                <w:sz w:val="20"/>
                <w:szCs w:val="20"/>
              </w:rPr>
              <w:instrText xml:space="preserve"> PAGEREF _Toc121591194 \h </w:instrText>
            </w:r>
            <w:r w:rsidR="00896317" w:rsidRPr="00896317">
              <w:rPr>
                <w:noProof/>
                <w:webHidden/>
                <w:sz w:val="20"/>
                <w:szCs w:val="20"/>
              </w:rPr>
            </w:r>
            <w:r w:rsidR="00896317" w:rsidRPr="00896317">
              <w:rPr>
                <w:noProof/>
                <w:webHidden/>
                <w:sz w:val="20"/>
                <w:szCs w:val="20"/>
              </w:rPr>
              <w:fldChar w:fldCharType="separate"/>
            </w:r>
            <w:r w:rsidR="0025534C">
              <w:rPr>
                <w:noProof/>
                <w:webHidden/>
                <w:sz w:val="20"/>
                <w:szCs w:val="20"/>
              </w:rPr>
              <w:t>20</w:t>
            </w:r>
            <w:r w:rsidR="00896317" w:rsidRPr="00896317">
              <w:rPr>
                <w:noProof/>
                <w:webHidden/>
                <w:sz w:val="20"/>
                <w:szCs w:val="20"/>
              </w:rPr>
              <w:fldChar w:fldCharType="end"/>
            </w:r>
          </w:hyperlink>
        </w:p>
        <w:p w14:paraId="5454E1AD" w14:textId="28A23A45" w:rsidR="00556721" w:rsidRDefault="00556721" w:rsidP="00896317">
          <w:pPr>
            <w:spacing w:after="40" w:line="252" w:lineRule="auto"/>
            <w:ind w:left="1418" w:hanging="1418"/>
          </w:pPr>
          <w:r w:rsidRPr="00896317">
            <w:rPr>
              <w:rFonts w:ascii="Bookman Old Style" w:hAnsi="Bookman Old Style"/>
              <w:b/>
              <w:bCs/>
              <w:sz w:val="20"/>
              <w:szCs w:val="20"/>
            </w:rPr>
            <w:fldChar w:fldCharType="end"/>
          </w:r>
        </w:p>
      </w:sdtContent>
    </w:sdt>
    <w:p w14:paraId="0CCC9F49" w14:textId="77777777" w:rsidR="00466C28" w:rsidRDefault="00466C28" w:rsidP="00556721">
      <w:pPr>
        <w:ind w:firstLine="0"/>
        <w:rPr>
          <w:rFonts w:ascii="Bookman Old Style" w:hAnsi="Bookman Old Style"/>
        </w:rPr>
      </w:pPr>
    </w:p>
    <w:p w14:paraId="3509077C" w14:textId="66613FD9" w:rsidR="00466C28" w:rsidRPr="00FE510C" w:rsidRDefault="00466C28" w:rsidP="00466C28">
      <w:pPr>
        <w:pStyle w:val="Titolo2"/>
        <w:pBdr>
          <w:bottom w:val="single" w:sz="8" w:space="2" w:color="4F81BD"/>
        </w:pBdr>
        <w:rPr>
          <w:rFonts w:ascii="Bookman Old Style" w:hAnsi="Bookman Old Style"/>
          <w:bCs/>
        </w:rPr>
      </w:pPr>
      <w:bookmarkStart w:id="0" w:name="_Toc121591181"/>
      <w:r w:rsidRPr="00FE510C">
        <w:rPr>
          <w:rFonts w:ascii="Bookman Old Style" w:hAnsi="Bookman Old Style"/>
          <w:bCs/>
        </w:rPr>
        <w:t>Premessa</w:t>
      </w:r>
      <w:bookmarkEnd w:id="0"/>
    </w:p>
    <w:p w14:paraId="21077861" w14:textId="5584BA50" w:rsidR="00466C28" w:rsidRDefault="00466C28" w:rsidP="00480183">
      <w:pPr>
        <w:spacing w:after="80" w:line="252" w:lineRule="auto"/>
        <w:ind w:firstLine="0"/>
        <w:jc w:val="both"/>
        <w:rPr>
          <w:rFonts w:ascii="Bookman Old Style" w:hAnsi="Bookman Old Style"/>
        </w:rPr>
      </w:pPr>
      <w:r>
        <w:rPr>
          <w:rFonts w:ascii="Bookman Old Style" w:hAnsi="Bookman Old Style"/>
        </w:rPr>
        <w:t xml:space="preserve">Con la delibera </w:t>
      </w:r>
      <w:r w:rsidR="001C3068">
        <w:rPr>
          <w:rFonts w:ascii="Bookman Old Style" w:hAnsi="Bookman Old Style"/>
        </w:rPr>
        <w:t>1</w:t>
      </w:r>
      <w:r w:rsidR="001C3068" w:rsidRPr="001C3068">
        <w:rPr>
          <w:rFonts w:ascii="Bookman Old Style" w:hAnsi="Bookman Old Style"/>
        </w:rPr>
        <w:t>8 gennaio 2022</w:t>
      </w:r>
      <w:r w:rsidR="001C3068">
        <w:rPr>
          <w:rFonts w:ascii="Bookman Old Style" w:hAnsi="Bookman Old Style"/>
        </w:rPr>
        <w:t xml:space="preserve"> n.</w:t>
      </w:r>
      <w:r w:rsidR="001C3068" w:rsidRPr="001C3068">
        <w:rPr>
          <w:rFonts w:ascii="Bookman Old Style" w:hAnsi="Bookman Old Style"/>
        </w:rPr>
        <w:t>15/2022/R/rif</w:t>
      </w:r>
      <w:r>
        <w:rPr>
          <w:rFonts w:ascii="Bookman Old Style" w:hAnsi="Bookman Old Style"/>
        </w:rPr>
        <w:t xml:space="preserve"> A</w:t>
      </w:r>
      <w:r w:rsidR="00C13D12">
        <w:rPr>
          <w:rFonts w:ascii="Bookman Old Style" w:hAnsi="Bookman Old Style"/>
        </w:rPr>
        <w:t>RERA</w:t>
      </w:r>
      <w:r>
        <w:rPr>
          <w:rFonts w:ascii="Bookman Old Style" w:hAnsi="Bookman Old Style"/>
        </w:rPr>
        <w:t xml:space="preserve"> ha approvato il testo unico per la regolazione della qualità del servizio di gestione dei rifiuti urbani (TQRIF)</w:t>
      </w:r>
      <w:r w:rsidR="001C3068">
        <w:rPr>
          <w:rFonts w:ascii="Bookman Old Style" w:hAnsi="Bookman Old Style"/>
        </w:rPr>
        <w:t>, che impone</w:t>
      </w:r>
      <w:r w:rsidR="001C3068" w:rsidRPr="001C3068">
        <w:rPr>
          <w:rFonts w:ascii="Bookman Old Style" w:hAnsi="Bookman Old Style"/>
        </w:rPr>
        <w:t xml:space="preserve"> il rispetto d</w:t>
      </w:r>
      <w:r w:rsidR="001C3068">
        <w:rPr>
          <w:rFonts w:ascii="Bookman Old Style" w:hAnsi="Bookman Old Style"/>
        </w:rPr>
        <w:t>i una serie di determinati</w:t>
      </w:r>
      <w:r w:rsidR="001C3068" w:rsidRPr="001C3068">
        <w:rPr>
          <w:rFonts w:ascii="Bookman Old Style" w:hAnsi="Bookman Old Style"/>
        </w:rPr>
        <w:t xml:space="preserve"> obblighi di servizio ai soggetti </w:t>
      </w:r>
      <w:r w:rsidR="001C3068">
        <w:rPr>
          <w:rFonts w:ascii="Bookman Old Style" w:hAnsi="Bookman Old Style"/>
        </w:rPr>
        <w:t>gesto</w:t>
      </w:r>
      <w:r w:rsidR="001C3068" w:rsidRPr="001C3068">
        <w:rPr>
          <w:rFonts w:ascii="Bookman Old Style" w:hAnsi="Bookman Old Style"/>
        </w:rPr>
        <w:t>ri del servizio rifiuti</w:t>
      </w:r>
      <w:r w:rsidR="001C3068">
        <w:rPr>
          <w:rFonts w:ascii="Bookman Old Style" w:hAnsi="Bookman Old Style"/>
        </w:rPr>
        <w:t xml:space="preserve">, ivi inclusi i gestori delle tariffe e rapporti con l’utenza – che tipicamente sono identificati nei Comuni che </w:t>
      </w:r>
      <w:r w:rsidR="001C3068" w:rsidRPr="001C3068">
        <w:rPr>
          <w:rFonts w:ascii="Bookman Old Style" w:hAnsi="Bookman Old Style"/>
        </w:rPr>
        <w:t>gest</w:t>
      </w:r>
      <w:r w:rsidR="001C3068">
        <w:rPr>
          <w:rFonts w:ascii="Bookman Old Style" w:hAnsi="Bookman Old Style"/>
        </w:rPr>
        <w:t>iscono direttamente il tribut</w:t>
      </w:r>
      <w:r w:rsidR="001C3068" w:rsidRPr="001C3068">
        <w:rPr>
          <w:rFonts w:ascii="Bookman Old Style" w:hAnsi="Bookman Old Style"/>
        </w:rPr>
        <w:t>o</w:t>
      </w:r>
      <w:r w:rsidR="001C3068">
        <w:rPr>
          <w:rFonts w:ascii="Bookman Old Style" w:hAnsi="Bookman Old Style"/>
        </w:rPr>
        <w:t xml:space="preserve"> TARI – a decorrere dal 1° gennaio 2023 (art. 1, comma 2, delibera 15/2022)</w:t>
      </w:r>
      <w:r w:rsidR="001C3068" w:rsidRPr="001C3068">
        <w:rPr>
          <w:rFonts w:ascii="Bookman Old Style" w:hAnsi="Bookman Old Style"/>
        </w:rPr>
        <w:t xml:space="preserve">. </w:t>
      </w:r>
    </w:p>
    <w:p w14:paraId="358D734C" w14:textId="0D7E00B4" w:rsidR="00361BDD" w:rsidRDefault="00361BDD" w:rsidP="00480183">
      <w:pPr>
        <w:spacing w:after="80" w:line="252" w:lineRule="auto"/>
        <w:ind w:firstLine="0"/>
        <w:jc w:val="both"/>
        <w:rPr>
          <w:rFonts w:ascii="Bookman Old Style" w:hAnsi="Bookman Old Style"/>
        </w:rPr>
      </w:pPr>
      <w:r>
        <w:rPr>
          <w:rFonts w:ascii="Bookman Old Style" w:hAnsi="Bookman Old Style"/>
        </w:rPr>
        <w:t xml:space="preserve">L’art. 2 del TQRIF precisa che sono tenuti al rispetto delle </w:t>
      </w:r>
      <w:r w:rsidR="00231722">
        <w:rPr>
          <w:rFonts w:ascii="Bookman Old Style" w:hAnsi="Bookman Old Style"/>
        </w:rPr>
        <w:t>prescrizioni regolatorie t</w:t>
      </w:r>
      <w:r>
        <w:rPr>
          <w:rFonts w:ascii="Bookman Old Style" w:hAnsi="Bookman Old Style"/>
        </w:rPr>
        <w:t xml:space="preserve">utti i gestori del servizio </w:t>
      </w:r>
      <w:r w:rsidR="00231722">
        <w:rPr>
          <w:rFonts w:ascii="Bookman Old Style" w:hAnsi="Bookman Old Style"/>
        </w:rPr>
        <w:t xml:space="preserve">integrato </w:t>
      </w:r>
      <w:r>
        <w:rPr>
          <w:rFonts w:ascii="Bookman Old Style" w:hAnsi="Bookman Old Style"/>
        </w:rPr>
        <w:t xml:space="preserve">di gestione dei rifiuti urbani, ovvero di ciascuno dei singoli servizi che lo compongono. Nel testo della delibera, inoltre, ARERA richiama l’art. 2, comma </w:t>
      </w:r>
      <w:r w:rsidR="00231722">
        <w:rPr>
          <w:rFonts w:ascii="Bookman Old Style" w:hAnsi="Bookman Old Style"/>
        </w:rPr>
        <w:t>37 della</w:t>
      </w:r>
      <w:r>
        <w:rPr>
          <w:rFonts w:ascii="Bookman Old Style" w:hAnsi="Bookman Old Style"/>
        </w:rPr>
        <w:t xml:space="preserve"> legge 481/1995, il quale dispone che le determinazion</w:t>
      </w:r>
      <w:r w:rsidR="00C13D12">
        <w:rPr>
          <w:rFonts w:ascii="Bookman Old Style" w:hAnsi="Bookman Old Style"/>
        </w:rPr>
        <w:t>i</w:t>
      </w:r>
      <w:r>
        <w:rPr>
          <w:rFonts w:ascii="Bookman Old Style" w:hAnsi="Bookman Old Style"/>
        </w:rPr>
        <w:t xml:space="preserve"> dell’Autorità </w:t>
      </w:r>
      <w:r w:rsidR="00C13D12">
        <w:rPr>
          <w:rFonts w:ascii="Bookman Old Style" w:hAnsi="Bookman Old Style"/>
        </w:rPr>
        <w:t>in materia di definizione de</w:t>
      </w:r>
      <w:r w:rsidR="00C13D12" w:rsidRPr="00C13D12">
        <w:rPr>
          <w:rFonts w:ascii="Bookman Old Style" w:hAnsi="Bookman Old Style"/>
        </w:rPr>
        <w:t xml:space="preserve">i livelli di qualità </w:t>
      </w:r>
      <w:r>
        <w:rPr>
          <w:rFonts w:ascii="Bookman Old Style" w:hAnsi="Bookman Old Style"/>
        </w:rPr>
        <w:t>“</w:t>
      </w:r>
      <w:r w:rsidRPr="00E94D46">
        <w:rPr>
          <w:rFonts w:ascii="Bookman Old Style" w:hAnsi="Bookman Old Style"/>
          <w:i/>
          <w:iCs/>
        </w:rPr>
        <w:t>costituiscono modifica o integrazione del regolamento di servizio</w:t>
      </w:r>
      <w:r>
        <w:rPr>
          <w:rFonts w:ascii="Bookman Old Style" w:hAnsi="Bookman Old Style"/>
        </w:rPr>
        <w:t>”.</w:t>
      </w:r>
    </w:p>
    <w:p w14:paraId="43835002" w14:textId="3E8D20D4" w:rsidR="002C7A30" w:rsidRDefault="00265762" w:rsidP="00480183">
      <w:pPr>
        <w:spacing w:after="80" w:line="252" w:lineRule="auto"/>
        <w:ind w:firstLine="0"/>
        <w:jc w:val="both"/>
        <w:rPr>
          <w:rFonts w:ascii="Bookman Old Style" w:hAnsi="Bookman Old Style"/>
        </w:rPr>
      </w:pPr>
      <w:r>
        <w:rPr>
          <w:rFonts w:ascii="Bookman Old Style" w:hAnsi="Bookman Old Style"/>
        </w:rPr>
        <w:lastRenderedPageBreak/>
        <w:t>Per quanto concerne i regimi di prelievo applicabili dai Comuni (tributo TARI, nella sua duplice veste di presuntiv</w:t>
      </w:r>
      <w:r w:rsidR="00564914">
        <w:rPr>
          <w:rFonts w:ascii="Bookman Old Style" w:hAnsi="Bookman Old Style"/>
        </w:rPr>
        <w:t>o</w:t>
      </w:r>
      <w:r>
        <w:rPr>
          <w:rFonts w:ascii="Bookman Old Style" w:hAnsi="Bookman Old Style"/>
        </w:rPr>
        <w:t xml:space="preserve"> o  puntuale, e tariffa corrispettiva)</w:t>
      </w:r>
      <w:r w:rsidR="00496440">
        <w:rPr>
          <w:rFonts w:ascii="Bookman Old Style" w:hAnsi="Bookman Old Style"/>
        </w:rPr>
        <w:t>, mentre</w:t>
      </w:r>
      <w:r>
        <w:rPr>
          <w:rFonts w:ascii="Bookman Old Style" w:hAnsi="Bookman Old Style"/>
        </w:rPr>
        <w:t xml:space="preserve"> n</w:t>
      </w:r>
      <w:r w:rsidR="00361BDD">
        <w:rPr>
          <w:rFonts w:ascii="Bookman Old Style" w:hAnsi="Bookman Old Style"/>
        </w:rPr>
        <w:t xml:space="preserve">on pare esserci alcun dubbio sulla doverosità del recepimento integrale della delibera 15/2022 e dell’allegato TQRIF </w:t>
      </w:r>
      <w:r w:rsidR="00496440">
        <w:rPr>
          <w:rFonts w:ascii="Bookman Old Style" w:hAnsi="Bookman Old Style"/>
        </w:rPr>
        <w:t xml:space="preserve">per i gestori del servizio rifiuti </w:t>
      </w:r>
      <w:r w:rsidR="00361BDD">
        <w:rPr>
          <w:rFonts w:ascii="Bookman Old Style" w:hAnsi="Bookman Old Style"/>
        </w:rPr>
        <w:t xml:space="preserve">in caso di adozione della tariffa corrispettiva, posto che si tratta di entrata di natura patrimoniale, </w:t>
      </w:r>
      <w:r w:rsidR="002C7A30">
        <w:rPr>
          <w:rFonts w:ascii="Bookman Old Style" w:hAnsi="Bookman Old Style"/>
        </w:rPr>
        <w:t>d</w:t>
      </w:r>
      <w:r w:rsidR="002C7A30" w:rsidRPr="002C7A30">
        <w:rPr>
          <w:rFonts w:ascii="Bookman Old Style" w:hAnsi="Bookman Old Style"/>
        </w:rPr>
        <w:t xml:space="preserve">iverso è il discorso nel caso di applicazione della TARI, con riferimento alla gestione della tariffa da parte dei Comuni ed al rapporto con gli </w:t>
      </w:r>
      <w:r w:rsidR="00357764" w:rsidRPr="002C7A30">
        <w:rPr>
          <w:rFonts w:ascii="Bookman Old Style" w:hAnsi="Bookman Old Style"/>
        </w:rPr>
        <w:t>utenti</w:t>
      </w:r>
      <w:r w:rsidR="002C7A30" w:rsidRPr="002C7A30">
        <w:rPr>
          <w:rFonts w:ascii="Bookman Old Style" w:hAnsi="Bookman Old Style"/>
        </w:rPr>
        <w:t>, posto che questi ultimi sono prima di tutto dei “contribuenti”.</w:t>
      </w:r>
    </w:p>
    <w:p w14:paraId="5A165D0F" w14:textId="1663029F" w:rsidR="00357764" w:rsidRDefault="00697874" w:rsidP="00480183">
      <w:pPr>
        <w:spacing w:after="80" w:line="252" w:lineRule="auto"/>
        <w:ind w:firstLine="0"/>
        <w:jc w:val="both"/>
        <w:rPr>
          <w:rFonts w:ascii="Bookman Old Style" w:hAnsi="Bookman Old Style"/>
        </w:rPr>
      </w:pPr>
      <w:r>
        <w:rPr>
          <w:rFonts w:ascii="Bookman Old Style" w:hAnsi="Bookman Old Style"/>
        </w:rPr>
        <w:t xml:space="preserve">Tale conclusione </w:t>
      </w:r>
      <w:r w:rsidR="00780F57">
        <w:rPr>
          <w:rFonts w:ascii="Bookman Old Style" w:hAnsi="Bookman Old Style"/>
        </w:rPr>
        <w:t>muove dalla comparazione dei due regimi e della normativa che regola ciascuno di essi</w:t>
      </w:r>
      <w:r w:rsidR="001F315B">
        <w:rPr>
          <w:rFonts w:ascii="Bookman Old Style" w:hAnsi="Bookman Old Style"/>
        </w:rPr>
        <w:t>.</w:t>
      </w:r>
      <w:r w:rsidR="00780F57">
        <w:rPr>
          <w:rFonts w:ascii="Bookman Old Style" w:hAnsi="Bookman Old Style"/>
        </w:rPr>
        <w:t xml:space="preserve"> </w:t>
      </w:r>
      <w:r w:rsidR="001F315B">
        <w:rPr>
          <w:rFonts w:ascii="Bookman Old Style" w:hAnsi="Bookman Old Style"/>
        </w:rPr>
        <w:t>I</w:t>
      </w:r>
      <w:r w:rsidR="00780F57">
        <w:rPr>
          <w:rFonts w:ascii="Bookman Old Style" w:hAnsi="Bookman Old Style"/>
        </w:rPr>
        <w:t xml:space="preserve">n particolare, </w:t>
      </w:r>
      <w:r w:rsidR="00357764">
        <w:rPr>
          <w:rFonts w:ascii="Bookman Old Style" w:hAnsi="Bookman Old Style"/>
        </w:rPr>
        <w:t>l’ambito della Tari tributo è regolato da un complesso quadro normativo speciale di matrice tributaria al quale i Comuni devono attenersi pedissequamente, ferm</w:t>
      </w:r>
      <w:r w:rsidR="00C3387B">
        <w:rPr>
          <w:rFonts w:ascii="Bookman Old Style" w:hAnsi="Bookman Old Style"/>
        </w:rPr>
        <w:t>o</w:t>
      </w:r>
      <w:r w:rsidR="00357764">
        <w:rPr>
          <w:rFonts w:ascii="Bookman Old Style" w:hAnsi="Bookman Old Style"/>
        </w:rPr>
        <w:t xml:space="preserve"> restando </w:t>
      </w:r>
      <w:r w:rsidR="00C3387B">
        <w:rPr>
          <w:rFonts w:ascii="Bookman Old Style" w:hAnsi="Bookman Old Style"/>
        </w:rPr>
        <w:t xml:space="preserve">lo </w:t>
      </w:r>
      <w:r w:rsidR="00357764">
        <w:rPr>
          <w:rFonts w:ascii="Bookman Old Style" w:hAnsi="Bookman Old Style"/>
        </w:rPr>
        <w:t>spazio di autonomia</w:t>
      </w:r>
      <w:r w:rsidR="00C3387B">
        <w:rPr>
          <w:rFonts w:ascii="Bookman Old Style" w:hAnsi="Bookman Old Style"/>
        </w:rPr>
        <w:t xml:space="preserve"> regolamentare </w:t>
      </w:r>
      <w:r w:rsidR="00065517">
        <w:rPr>
          <w:rFonts w:ascii="Bookman Old Style" w:hAnsi="Bookman Old Style"/>
        </w:rPr>
        <w:t xml:space="preserve">garantito dalla legge stessa </w:t>
      </w:r>
      <w:r w:rsidR="00C3387B">
        <w:rPr>
          <w:rFonts w:ascii="Bookman Old Style" w:hAnsi="Bookman Old Style"/>
        </w:rPr>
        <w:t>in alcuni ambiti</w:t>
      </w:r>
      <w:r w:rsidR="000528F4">
        <w:rPr>
          <w:rFonts w:ascii="Bookman Old Style" w:hAnsi="Bookman Old Style"/>
        </w:rPr>
        <w:t>. N</w:t>
      </w:r>
      <w:r w:rsidR="00357764">
        <w:rPr>
          <w:rFonts w:ascii="Bookman Old Style" w:hAnsi="Bookman Old Style"/>
        </w:rPr>
        <w:t xml:space="preserve">el caso della tariffa corrispettiva, il </w:t>
      </w:r>
      <w:r w:rsidR="00357764" w:rsidRPr="00357764">
        <w:rPr>
          <w:rFonts w:ascii="Bookman Old Style" w:hAnsi="Bookman Old Style"/>
          <w:i/>
          <w:iCs/>
        </w:rPr>
        <w:t>corpus</w:t>
      </w:r>
      <w:r w:rsidR="00357764">
        <w:rPr>
          <w:rFonts w:ascii="Bookman Old Style" w:hAnsi="Bookman Old Style"/>
        </w:rPr>
        <w:t xml:space="preserve"> normativo di riferimento è costituito da un solo comma della legge n.147/2013 (art. 1 co.6</w:t>
      </w:r>
      <w:r w:rsidR="002C7E07">
        <w:rPr>
          <w:rFonts w:ascii="Bookman Old Style" w:hAnsi="Bookman Old Style"/>
        </w:rPr>
        <w:t>6</w:t>
      </w:r>
      <w:r w:rsidR="00357764">
        <w:rPr>
          <w:rFonts w:ascii="Bookman Old Style" w:hAnsi="Bookman Old Style"/>
        </w:rPr>
        <w:t xml:space="preserve">8) e da un decreto ministeriale attuativo (DM 20 aprile 2017), che </w:t>
      </w:r>
      <w:r w:rsidR="00780F57" w:rsidRPr="00C00286">
        <w:rPr>
          <w:rFonts w:ascii="Bookman Old Style" w:hAnsi="Bookman Old Style"/>
        </w:rPr>
        <w:t xml:space="preserve">è stato integrato dalle disposizioni contenute nei regolamenti comunali con i quali </w:t>
      </w:r>
      <w:r w:rsidR="00F71920">
        <w:rPr>
          <w:rFonts w:ascii="Bookman Old Style" w:hAnsi="Bookman Old Style"/>
        </w:rPr>
        <w:t xml:space="preserve">viene </w:t>
      </w:r>
      <w:r w:rsidR="00780F57" w:rsidRPr="00C00286">
        <w:rPr>
          <w:rFonts w:ascii="Bookman Old Style" w:hAnsi="Bookman Old Style"/>
        </w:rPr>
        <w:t xml:space="preserve">indirizzata l’attività e l’organizzazione del gestore dei rifiuti, soggetto che per legge è tenuto ad applicare e riscuotere la </w:t>
      </w:r>
      <w:proofErr w:type="gramStart"/>
      <w:r w:rsidR="00780F57" w:rsidRPr="00C00286">
        <w:rPr>
          <w:rFonts w:ascii="Bookman Old Style" w:hAnsi="Bookman Old Style"/>
        </w:rPr>
        <w:t>predetta</w:t>
      </w:r>
      <w:proofErr w:type="gramEnd"/>
      <w:r w:rsidR="00780F57" w:rsidRPr="00C00286">
        <w:rPr>
          <w:rFonts w:ascii="Bookman Old Style" w:hAnsi="Bookman Old Style"/>
        </w:rPr>
        <w:t xml:space="preserve"> tariffa corrispettiva</w:t>
      </w:r>
      <w:r w:rsidR="00776483" w:rsidRPr="00776483">
        <w:rPr>
          <w:rFonts w:ascii="Bookman Old Style" w:hAnsi="Bookman Old Style"/>
          <w:vertAlign w:val="superscript"/>
        </w:rPr>
        <w:footnoteReference w:id="2"/>
      </w:r>
      <w:r w:rsidR="00780F57" w:rsidRPr="00C00286">
        <w:rPr>
          <w:rFonts w:ascii="Bookman Old Style" w:hAnsi="Bookman Old Style"/>
        </w:rPr>
        <w:t>.</w:t>
      </w:r>
      <w:r w:rsidR="00357764">
        <w:rPr>
          <w:rFonts w:ascii="Bookman Old Style" w:hAnsi="Bookman Old Style"/>
        </w:rPr>
        <w:t xml:space="preserve"> </w:t>
      </w:r>
    </w:p>
    <w:p w14:paraId="57D92945" w14:textId="061279FF" w:rsidR="00B56F86" w:rsidRDefault="00357764" w:rsidP="00480183">
      <w:pPr>
        <w:spacing w:after="80" w:line="252" w:lineRule="auto"/>
        <w:ind w:firstLine="0"/>
        <w:jc w:val="both"/>
        <w:rPr>
          <w:rFonts w:ascii="Bookman Old Style" w:hAnsi="Bookman Old Style"/>
        </w:rPr>
      </w:pPr>
      <w:r>
        <w:rPr>
          <w:rFonts w:ascii="Bookman Old Style" w:hAnsi="Bookman Old Style"/>
        </w:rPr>
        <w:t xml:space="preserve">Pertanto, si ritiene che nel caso di adozione della tariffa corrispettiva, l’impianto delle prescrizioni dell’Autorità </w:t>
      </w:r>
      <w:r w:rsidR="00B56F86">
        <w:rPr>
          <w:rFonts w:ascii="Bookman Old Style" w:hAnsi="Bookman Old Style"/>
        </w:rPr>
        <w:t>sia immediatamente applicabile alle gestioni interessate,</w:t>
      </w:r>
      <w:r w:rsidR="00776483">
        <w:rPr>
          <w:rFonts w:ascii="Bookman Old Style" w:hAnsi="Bookman Old Style"/>
        </w:rPr>
        <w:t xml:space="preserve"> e sovrapponibile alla regolamentazione comunale in quanto provvedimento di rango “superiore”,</w:t>
      </w:r>
      <w:r w:rsidR="00B56F86">
        <w:rPr>
          <w:rFonts w:ascii="Bookman Old Style" w:hAnsi="Bookman Old Style"/>
        </w:rPr>
        <w:t xml:space="preserve"> non essendo </w:t>
      </w:r>
      <w:r w:rsidR="00776483">
        <w:rPr>
          <w:rFonts w:ascii="Bookman Old Style" w:hAnsi="Bookman Old Style"/>
        </w:rPr>
        <w:t xml:space="preserve">essa </w:t>
      </w:r>
      <w:r w:rsidR="00B56F86">
        <w:rPr>
          <w:rFonts w:ascii="Bookman Old Style" w:hAnsi="Bookman Old Style"/>
        </w:rPr>
        <w:t>sottopost</w:t>
      </w:r>
      <w:r w:rsidR="00776483">
        <w:rPr>
          <w:rFonts w:ascii="Bookman Old Style" w:hAnsi="Bookman Old Style"/>
        </w:rPr>
        <w:t>a</w:t>
      </w:r>
      <w:r w:rsidR="00B56F86">
        <w:rPr>
          <w:rFonts w:ascii="Bookman Old Style" w:hAnsi="Bookman Old Style"/>
        </w:rPr>
        <w:t xml:space="preserve">, in virtù del carattere patrimoniale della tariffa (cfr. Corte di </w:t>
      </w:r>
      <w:r w:rsidR="00B56F86" w:rsidRPr="00B56F86">
        <w:rPr>
          <w:rFonts w:ascii="Bookman Old Style" w:hAnsi="Bookman Old Style"/>
        </w:rPr>
        <w:t xml:space="preserve">Cassazione, sezioni unite, </w:t>
      </w:r>
      <w:r w:rsidR="00B56F86">
        <w:rPr>
          <w:rFonts w:ascii="Bookman Old Style" w:hAnsi="Bookman Old Style"/>
        </w:rPr>
        <w:t xml:space="preserve">sentenza </w:t>
      </w:r>
      <w:r w:rsidR="00B56F86" w:rsidRPr="00B56F86">
        <w:rPr>
          <w:rFonts w:ascii="Bookman Old Style" w:hAnsi="Bookman Old Style"/>
        </w:rPr>
        <w:t>29 aprile 2021, n. 11290</w:t>
      </w:r>
      <w:r w:rsidR="00B56F86">
        <w:rPr>
          <w:rFonts w:ascii="Bookman Old Style" w:hAnsi="Bookman Old Style"/>
        </w:rPr>
        <w:t xml:space="preserve">) al rispetto della normativa </w:t>
      </w:r>
      <w:r w:rsidR="00776483">
        <w:rPr>
          <w:rFonts w:ascii="Bookman Old Style" w:hAnsi="Bookman Old Style"/>
        </w:rPr>
        <w:t xml:space="preserve">di rango primario </w:t>
      </w:r>
      <w:r w:rsidR="00B56F86">
        <w:rPr>
          <w:rFonts w:ascii="Bookman Old Style" w:hAnsi="Bookman Old Style"/>
        </w:rPr>
        <w:t>tributaria</w:t>
      </w:r>
      <w:r w:rsidR="00776483">
        <w:rPr>
          <w:rFonts w:ascii="Bookman Old Style" w:hAnsi="Bookman Old Style"/>
        </w:rPr>
        <w:t>,</w:t>
      </w:r>
      <w:r w:rsidR="00B56F86">
        <w:rPr>
          <w:rFonts w:ascii="Bookman Old Style" w:hAnsi="Bookman Old Style"/>
        </w:rPr>
        <w:t xml:space="preserve"> che </w:t>
      </w:r>
      <w:r w:rsidR="00776483">
        <w:rPr>
          <w:rFonts w:ascii="Bookman Old Style" w:hAnsi="Bookman Old Style"/>
        </w:rPr>
        <w:t>al contrario governa</w:t>
      </w:r>
      <w:r w:rsidR="00B56F86">
        <w:rPr>
          <w:rFonts w:ascii="Bookman Old Style" w:hAnsi="Bookman Old Style"/>
        </w:rPr>
        <w:t xml:space="preserve"> le gestioni in T</w:t>
      </w:r>
      <w:r w:rsidR="00E63D8A">
        <w:rPr>
          <w:rFonts w:ascii="Bookman Old Style" w:hAnsi="Bookman Old Style"/>
        </w:rPr>
        <w:t>ARI</w:t>
      </w:r>
      <w:r w:rsidR="00B56F86">
        <w:rPr>
          <w:rFonts w:ascii="Bookman Old Style" w:hAnsi="Bookman Old Style"/>
        </w:rPr>
        <w:t xml:space="preserve"> tributo</w:t>
      </w:r>
      <w:r w:rsidR="00C84FD6">
        <w:rPr>
          <w:rFonts w:ascii="Bookman Old Style" w:hAnsi="Bookman Old Style"/>
        </w:rPr>
        <w:t xml:space="preserve">, </w:t>
      </w:r>
      <w:r w:rsidR="00B56F86">
        <w:rPr>
          <w:rFonts w:ascii="Bookman Old Style" w:hAnsi="Bookman Old Style"/>
        </w:rPr>
        <w:t>sia nella forma presuntiva che puntuale.</w:t>
      </w:r>
    </w:p>
    <w:p w14:paraId="2736EF9A" w14:textId="2A46E9B3" w:rsidR="00636984" w:rsidRDefault="00014948" w:rsidP="00480183">
      <w:pPr>
        <w:spacing w:after="80" w:line="252" w:lineRule="auto"/>
        <w:ind w:firstLine="0"/>
        <w:jc w:val="both"/>
        <w:rPr>
          <w:rFonts w:ascii="Bookman Old Style" w:hAnsi="Bookman Old Style"/>
        </w:rPr>
      </w:pPr>
      <w:r>
        <w:rPr>
          <w:rFonts w:ascii="Bookman Old Style" w:hAnsi="Bookman Old Style"/>
        </w:rPr>
        <w:t>Quindi</w:t>
      </w:r>
      <w:r w:rsidR="00E63D8A">
        <w:rPr>
          <w:rFonts w:ascii="Bookman Old Style" w:hAnsi="Bookman Old Style"/>
        </w:rPr>
        <w:t>, n</w:t>
      </w:r>
      <w:r w:rsidR="00336551">
        <w:rPr>
          <w:rFonts w:ascii="Bookman Old Style" w:hAnsi="Bookman Old Style"/>
        </w:rPr>
        <w:t>el caso della TARI, avente natura tributaria, occorre dare rilievo ai principi costituzionali della riserva di legge</w:t>
      </w:r>
      <w:r w:rsidR="001F0D8B">
        <w:rPr>
          <w:rFonts w:ascii="Bookman Old Style" w:hAnsi="Bookman Old Style"/>
        </w:rPr>
        <w:t>,</w:t>
      </w:r>
      <w:r w:rsidR="00336551">
        <w:rPr>
          <w:rFonts w:ascii="Bookman Old Style" w:hAnsi="Bookman Old Style"/>
        </w:rPr>
        <w:t xml:space="preserve"> che vige in materia tributaria (art. 23 Cost.), </w:t>
      </w:r>
      <w:r w:rsidR="001F0D8B">
        <w:rPr>
          <w:rFonts w:ascii="Bookman Old Style" w:hAnsi="Bookman Old Style"/>
        </w:rPr>
        <w:t>de</w:t>
      </w:r>
      <w:r w:rsidR="00636984">
        <w:rPr>
          <w:rFonts w:ascii="Bookman Old Style" w:hAnsi="Bookman Old Style"/>
        </w:rPr>
        <w:t xml:space="preserve">ll’autonomia dei comuni (art. 5 Cost.) e </w:t>
      </w:r>
      <w:r w:rsidR="001F0D8B">
        <w:rPr>
          <w:rFonts w:ascii="Bookman Old Style" w:hAnsi="Bookman Old Style"/>
        </w:rPr>
        <w:t>del</w:t>
      </w:r>
      <w:r w:rsidR="00636984">
        <w:rPr>
          <w:rFonts w:ascii="Bookman Old Style" w:hAnsi="Bookman Old Style"/>
        </w:rPr>
        <w:t>la conseguente autonomia organizzativa, ribadita da varie disposizioni del TUEL</w:t>
      </w:r>
      <w:r w:rsidR="001D27F7" w:rsidRPr="001D27F7">
        <w:rPr>
          <w:rStyle w:val="Rimandonotaapidipagina"/>
          <w:rFonts w:ascii="Bookman Old Style" w:hAnsi="Bookman Old Style"/>
          <w:vertAlign w:val="superscript"/>
        </w:rPr>
        <w:footnoteReference w:id="3"/>
      </w:r>
      <w:r w:rsidR="001D27F7">
        <w:rPr>
          <w:rFonts w:ascii="Bookman Old Style" w:hAnsi="Bookman Old Style"/>
        </w:rPr>
        <w:t>.</w:t>
      </w:r>
      <w:r w:rsidR="00E63D8A" w:rsidRPr="00E63D8A">
        <w:t xml:space="preserve"> </w:t>
      </w:r>
      <w:r w:rsidR="00C678C7">
        <w:rPr>
          <w:rFonts w:ascii="Bookman Old Style" w:hAnsi="Bookman Old Style"/>
        </w:rPr>
        <w:t>E’ emersa</w:t>
      </w:r>
      <w:r w:rsidR="00E63D8A" w:rsidRPr="00E63D8A">
        <w:rPr>
          <w:rFonts w:ascii="Bookman Old Style" w:hAnsi="Bookman Old Style"/>
        </w:rPr>
        <w:t xml:space="preserve"> </w:t>
      </w:r>
      <w:r w:rsidR="00E63D8A">
        <w:rPr>
          <w:rFonts w:ascii="Bookman Old Style" w:hAnsi="Bookman Old Style"/>
        </w:rPr>
        <w:t xml:space="preserve">pertanto </w:t>
      </w:r>
      <w:r w:rsidR="00E63D8A" w:rsidRPr="00E63D8A">
        <w:rPr>
          <w:rFonts w:ascii="Bookman Old Style" w:hAnsi="Bookman Old Style"/>
        </w:rPr>
        <w:t xml:space="preserve">la necessità di operare una verifica di compatibilità delle prescrizioni </w:t>
      </w:r>
      <w:r w:rsidR="00E63D8A">
        <w:rPr>
          <w:rFonts w:ascii="Bookman Old Style" w:hAnsi="Bookman Old Style"/>
        </w:rPr>
        <w:t xml:space="preserve">regolatorie della del.15/2022 e </w:t>
      </w:r>
      <w:r w:rsidR="00E63D8A" w:rsidRPr="00E63D8A">
        <w:rPr>
          <w:rFonts w:ascii="Bookman Old Style" w:hAnsi="Bookman Old Style"/>
        </w:rPr>
        <w:t>del TQRIF con la normativa speciale tributaria, ed i connessi poteri regolamentari ed organizzativi garantiti agli enti locali dalla legge</w:t>
      </w:r>
      <w:r w:rsidRPr="00DB5A0B">
        <w:rPr>
          <w:rStyle w:val="Rimandonotaapidipagina"/>
          <w:rFonts w:ascii="Bookman Old Style" w:hAnsi="Bookman Old Style"/>
          <w:sz w:val="16"/>
          <w:szCs w:val="16"/>
        </w:rPr>
        <w:footnoteReference w:id="4"/>
      </w:r>
      <w:r w:rsidR="00E63D8A" w:rsidRPr="00DB5A0B">
        <w:rPr>
          <w:rFonts w:ascii="Bookman Old Style" w:hAnsi="Bookman Old Style"/>
          <w:sz w:val="24"/>
          <w:szCs w:val="24"/>
        </w:rPr>
        <w:t>.</w:t>
      </w:r>
    </w:p>
    <w:p w14:paraId="3C3A0317" w14:textId="03B7F755" w:rsidR="001F0D8B" w:rsidRDefault="00636984" w:rsidP="00480183">
      <w:pPr>
        <w:spacing w:after="80" w:line="252" w:lineRule="auto"/>
        <w:ind w:firstLine="0"/>
        <w:jc w:val="both"/>
        <w:rPr>
          <w:rFonts w:ascii="Bookman Old Style" w:hAnsi="Bookman Old Style"/>
        </w:rPr>
      </w:pPr>
      <w:r>
        <w:rPr>
          <w:rFonts w:ascii="Bookman Old Style" w:hAnsi="Bookman Old Style"/>
        </w:rPr>
        <w:t>In ambito regolamentare, inoltre, si rammenta che l’art. 52</w:t>
      </w:r>
      <w:r w:rsidR="001F0D8B">
        <w:rPr>
          <w:rFonts w:ascii="Bookman Old Style" w:hAnsi="Bookman Old Style"/>
        </w:rPr>
        <w:t xml:space="preserve">, d.lgs. 446/1997, attribuisce ai </w:t>
      </w:r>
      <w:r w:rsidR="00E63D8A">
        <w:rPr>
          <w:rFonts w:ascii="Bookman Old Style" w:hAnsi="Bookman Old Style"/>
        </w:rPr>
        <w:t>C</w:t>
      </w:r>
      <w:r w:rsidR="001F0D8B">
        <w:rPr>
          <w:rFonts w:ascii="Bookman Old Style" w:hAnsi="Bookman Old Style"/>
        </w:rPr>
        <w:t xml:space="preserve">omuni </w:t>
      </w:r>
      <w:r w:rsidR="003D343F">
        <w:rPr>
          <w:rFonts w:ascii="Bookman Old Style" w:hAnsi="Bookman Old Style"/>
        </w:rPr>
        <w:t>un’</w:t>
      </w:r>
      <w:r w:rsidR="001F0D8B">
        <w:rPr>
          <w:rFonts w:ascii="Bookman Old Style" w:hAnsi="Bookman Old Style"/>
        </w:rPr>
        <w:t xml:space="preserve">ampia potestà regolamentare, prevedendo espressamente che </w:t>
      </w:r>
      <w:r w:rsidR="001F0D8B" w:rsidRPr="00890328">
        <w:rPr>
          <w:rFonts w:ascii="Bookman Old Style" w:hAnsi="Bookman Old Style"/>
          <w:b/>
        </w:rPr>
        <w:t>per quanto non regolamentato si applicano le disposizioni di legge</w:t>
      </w:r>
      <w:r w:rsidR="001F0D8B">
        <w:rPr>
          <w:rFonts w:ascii="Bookman Old Style" w:hAnsi="Bookman Old Style"/>
        </w:rPr>
        <w:t>. Potestà regolamentare poi ribadita anche dall’art. 149 TUEL</w:t>
      </w:r>
      <w:r w:rsidR="00014948">
        <w:rPr>
          <w:rFonts w:ascii="Bookman Old Style" w:hAnsi="Bookman Old Style"/>
        </w:rPr>
        <w:t>, il quale, si ricorda, può essere modificato solo da norme di rango primario che ne prevedano l’espressa modifica</w:t>
      </w:r>
      <w:r w:rsidR="00872F23">
        <w:rPr>
          <w:rFonts w:ascii="Bookman Old Style" w:hAnsi="Bookman Old Style"/>
        </w:rPr>
        <w:t xml:space="preserve"> (art.128 della Costituzione)</w:t>
      </w:r>
      <w:r w:rsidR="001F0D8B">
        <w:rPr>
          <w:rFonts w:ascii="Bookman Old Style" w:hAnsi="Bookman Old Style"/>
        </w:rPr>
        <w:t>.</w:t>
      </w:r>
    </w:p>
    <w:p w14:paraId="1E88C8AD" w14:textId="1E130DAD" w:rsidR="00DC742A" w:rsidRDefault="001F0D8B" w:rsidP="00480183">
      <w:pPr>
        <w:spacing w:after="80" w:line="252" w:lineRule="auto"/>
        <w:ind w:firstLine="0"/>
        <w:jc w:val="both"/>
        <w:rPr>
          <w:rFonts w:ascii="Bookman Old Style" w:hAnsi="Bookman Old Style"/>
        </w:rPr>
      </w:pPr>
      <w:r>
        <w:rPr>
          <w:rFonts w:ascii="Bookman Old Style" w:hAnsi="Bookman Old Style"/>
        </w:rPr>
        <w:t>Sulla base del sintetico quadro normativo richiamato</w:t>
      </w:r>
      <w:r w:rsidR="009C270D">
        <w:rPr>
          <w:rFonts w:ascii="Bookman Old Style" w:hAnsi="Bookman Old Style"/>
        </w:rPr>
        <w:t>,</w:t>
      </w:r>
      <w:r>
        <w:rPr>
          <w:rFonts w:ascii="Bookman Old Style" w:hAnsi="Bookman Old Style"/>
        </w:rPr>
        <w:t xml:space="preserve"> emerge con evidenza che le prescrizioni d</w:t>
      </w:r>
      <w:r w:rsidR="00890328">
        <w:rPr>
          <w:rFonts w:ascii="Bookman Old Style" w:hAnsi="Bookman Old Style"/>
        </w:rPr>
        <w:t>ettate</w:t>
      </w:r>
      <w:r>
        <w:rPr>
          <w:rFonts w:ascii="Bookman Old Style" w:hAnsi="Bookman Old Style"/>
        </w:rPr>
        <w:t xml:space="preserve"> da ARERA in tema di qualità</w:t>
      </w:r>
      <w:r w:rsidR="00E63D8A">
        <w:rPr>
          <w:rFonts w:ascii="Bookman Old Style" w:hAnsi="Bookman Old Style"/>
        </w:rPr>
        <w:t xml:space="preserve"> </w:t>
      </w:r>
      <w:r>
        <w:rPr>
          <w:rFonts w:ascii="Bookman Old Style" w:hAnsi="Bookman Old Style"/>
        </w:rPr>
        <w:t xml:space="preserve">rappresentano certamente un </w:t>
      </w:r>
      <w:r w:rsidRPr="00890328">
        <w:rPr>
          <w:rFonts w:ascii="Bookman Old Style" w:hAnsi="Bookman Old Style"/>
          <w:b/>
        </w:rPr>
        <w:t>obiettivo cui tendere</w:t>
      </w:r>
      <w:r>
        <w:rPr>
          <w:rFonts w:ascii="Bookman Old Style" w:hAnsi="Bookman Old Style"/>
        </w:rPr>
        <w:t xml:space="preserve">, </w:t>
      </w:r>
      <w:r w:rsidR="00FD290C">
        <w:rPr>
          <w:rFonts w:ascii="Bookman Old Style" w:hAnsi="Bookman Old Style"/>
        </w:rPr>
        <w:t>a cui è necessario dar seguito in virtù de</w:t>
      </w:r>
      <w:r w:rsidR="000645F9">
        <w:rPr>
          <w:rFonts w:ascii="Bookman Old Style" w:hAnsi="Bookman Old Style"/>
        </w:rPr>
        <w:t xml:space="preserve">i poteri attribuiti dalla legge ad ARERA (ivi incluso il potere </w:t>
      </w:r>
      <w:r w:rsidR="00C05407">
        <w:rPr>
          <w:rFonts w:ascii="Bookman Old Style" w:hAnsi="Bookman Old Style"/>
        </w:rPr>
        <w:t>sanzionatorio</w:t>
      </w:r>
      <w:r w:rsidR="000645F9">
        <w:rPr>
          <w:rFonts w:ascii="Bookman Old Style" w:hAnsi="Bookman Old Style"/>
        </w:rPr>
        <w:t xml:space="preserve">), </w:t>
      </w:r>
      <w:r>
        <w:rPr>
          <w:rFonts w:ascii="Bookman Old Style" w:hAnsi="Bookman Old Style"/>
        </w:rPr>
        <w:t xml:space="preserve">ma </w:t>
      </w:r>
      <w:r w:rsidR="000645F9">
        <w:rPr>
          <w:rFonts w:ascii="Bookman Old Style" w:hAnsi="Bookman Old Style"/>
        </w:rPr>
        <w:t xml:space="preserve">occorre anche </w:t>
      </w:r>
      <w:r w:rsidR="007C13BD">
        <w:rPr>
          <w:rFonts w:ascii="Bookman Old Style" w:hAnsi="Bookman Old Style"/>
        </w:rPr>
        <w:t xml:space="preserve">contemperare </w:t>
      </w:r>
      <w:r w:rsidR="0076595F">
        <w:rPr>
          <w:rFonts w:ascii="Bookman Old Style" w:hAnsi="Bookman Old Style"/>
        </w:rPr>
        <w:t xml:space="preserve">i nuovi </w:t>
      </w:r>
      <w:r w:rsidR="0076595F">
        <w:rPr>
          <w:rFonts w:ascii="Bookman Old Style" w:hAnsi="Bookman Old Style"/>
        </w:rPr>
        <w:lastRenderedPageBreak/>
        <w:t>obblighi con quello che risulta</w:t>
      </w:r>
      <w:r>
        <w:rPr>
          <w:rFonts w:ascii="Bookman Old Style" w:hAnsi="Bookman Old Style"/>
        </w:rPr>
        <w:t xml:space="preserve"> </w:t>
      </w:r>
      <w:r w:rsidR="00890328">
        <w:rPr>
          <w:rFonts w:ascii="Bookman Old Style" w:hAnsi="Bookman Old Style"/>
        </w:rPr>
        <w:t>c</w:t>
      </w:r>
      <w:r>
        <w:rPr>
          <w:rFonts w:ascii="Bookman Old Style" w:hAnsi="Bookman Old Style"/>
        </w:rPr>
        <w:t>oncretamente attuabil</w:t>
      </w:r>
      <w:r w:rsidR="00890328">
        <w:rPr>
          <w:rFonts w:ascii="Bookman Old Style" w:hAnsi="Bookman Old Style"/>
        </w:rPr>
        <w:t>e</w:t>
      </w:r>
      <w:r>
        <w:rPr>
          <w:rFonts w:ascii="Bookman Old Style" w:hAnsi="Bookman Old Style"/>
        </w:rPr>
        <w:t xml:space="preserve"> sulla base dell</w:t>
      </w:r>
      <w:r w:rsidR="00872F23">
        <w:rPr>
          <w:rFonts w:ascii="Bookman Old Style" w:hAnsi="Bookman Old Style"/>
        </w:rPr>
        <w:t>a legge</w:t>
      </w:r>
      <w:r w:rsidR="000F12E1">
        <w:rPr>
          <w:rFonts w:ascii="Bookman Old Style" w:hAnsi="Bookman Old Style"/>
        </w:rPr>
        <w:t>,</w:t>
      </w:r>
      <w:r w:rsidR="00872F23">
        <w:rPr>
          <w:rFonts w:ascii="Bookman Old Style" w:hAnsi="Bookman Old Style"/>
        </w:rPr>
        <w:t xml:space="preserve"> in primo luogo, e delle</w:t>
      </w:r>
      <w:r>
        <w:rPr>
          <w:rFonts w:ascii="Bookman Old Style" w:hAnsi="Bookman Old Style"/>
        </w:rPr>
        <w:t xml:space="preserve"> risorse umane e finanziarie a disposizione</w:t>
      </w:r>
      <w:r w:rsidR="00DB5A0B">
        <w:rPr>
          <w:rFonts w:ascii="Bookman Old Style" w:hAnsi="Bookman Old Style"/>
        </w:rPr>
        <w:t xml:space="preserve"> </w:t>
      </w:r>
      <w:r w:rsidR="00010850">
        <w:rPr>
          <w:rFonts w:ascii="Bookman Old Style" w:hAnsi="Bookman Old Style"/>
        </w:rPr>
        <w:t xml:space="preserve">dei Comuni, </w:t>
      </w:r>
      <w:r w:rsidR="00DB5A0B">
        <w:rPr>
          <w:rFonts w:ascii="Bookman Old Style" w:hAnsi="Bookman Old Style"/>
        </w:rPr>
        <w:t>in secondo luogo</w:t>
      </w:r>
      <w:r w:rsidR="00010850">
        <w:rPr>
          <w:rFonts w:ascii="Bookman Old Style" w:hAnsi="Bookman Old Style"/>
        </w:rPr>
        <w:t>.  E in questa prospettiva si colloca lo spirito dello schema di regolamento Ifel, allegato alla presente nota,</w:t>
      </w:r>
      <w:r>
        <w:rPr>
          <w:rFonts w:ascii="Bookman Old Style" w:hAnsi="Bookman Old Style"/>
        </w:rPr>
        <w:t xml:space="preserve"> </w:t>
      </w:r>
      <w:r w:rsidR="000F12E1">
        <w:rPr>
          <w:rFonts w:ascii="Bookman Old Style" w:hAnsi="Bookman Old Style"/>
        </w:rPr>
        <w:t>che compie lo sforzo di riconciliare, per quanto e laddove possibile, il rispetto delle prescrizioni regolatorie con la legge speciale che governa l’ambito tributario di riferimento</w:t>
      </w:r>
      <w:r w:rsidR="005E02FD">
        <w:rPr>
          <w:rFonts w:ascii="Bookman Old Style" w:hAnsi="Bookman Old Style"/>
        </w:rPr>
        <w:t xml:space="preserve"> e con il conseguente potere regolamentare dei Comuni in materia di entrate proprie </w:t>
      </w:r>
      <w:r w:rsidR="00906672">
        <w:rPr>
          <w:rFonts w:ascii="Bookman Old Style" w:hAnsi="Bookman Old Style"/>
        </w:rPr>
        <w:t xml:space="preserve">che si spinge fino a prevalere sulle norme legislative specifiche, </w:t>
      </w:r>
      <w:r w:rsidR="00906672" w:rsidRPr="007558A0">
        <w:rPr>
          <w:rFonts w:ascii="Bookman Old Style" w:hAnsi="Bookman Old Style"/>
        </w:rPr>
        <w:t>fatti salvi, ovviamente</w:t>
      </w:r>
      <w:r w:rsidR="00FC0EAA">
        <w:rPr>
          <w:rFonts w:ascii="Bookman Old Style" w:hAnsi="Bookman Old Style"/>
        </w:rPr>
        <w:t>,</w:t>
      </w:r>
      <w:r w:rsidR="00906672" w:rsidRPr="007558A0">
        <w:rPr>
          <w:rFonts w:ascii="Bookman Old Style" w:hAnsi="Bookman Old Style"/>
        </w:rPr>
        <w:t xml:space="preserve"> i limiti espressamente imposti</w:t>
      </w:r>
      <w:r w:rsidR="00F932E7">
        <w:rPr>
          <w:rFonts w:ascii="Bookman Old Style" w:hAnsi="Bookman Old Style"/>
        </w:rPr>
        <w:t xml:space="preserve"> in quanto riservati alla legge e </w:t>
      </w:r>
      <w:r w:rsidR="00906672" w:rsidRPr="007558A0">
        <w:rPr>
          <w:rFonts w:ascii="Bookman Old Style" w:hAnsi="Bookman Old Style"/>
        </w:rPr>
        <w:t>relativi all</w:t>
      </w:r>
      <w:r w:rsidR="00F932E7">
        <w:rPr>
          <w:rFonts w:ascii="Bookman Old Style" w:hAnsi="Bookman Old Style"/>
        </w:rPr>
        <w:t xml:space="preserve">a determinazione delle </w:t>
      </w:r>
      <w:r w:rsidR="00906672" w:rsidRPr="007558A0">
        <w:rPr>
          <w:rFonts w:ascii="Bookman Old Style" w:hAnsi="Bookman Old Style"/>
        </w:rPr>
        <w:t xml:space="preserve">fattispecie imponibili, </w:t>
      </w:r>
      <w:r w:rsidR="00F932E7">
        <w:rPr>
          <w:rFonts w:ascii="Bookman Old Style" w:hAnsi="Bookman Old Style"/>
        </w:rPr>
        <w:t>del</w:t>
      </w:r>
      <w:r w:rsidR="00FC0EAA">
        <w:rPr>
          <w:rFonts w:ascii="Bookman Old Style" w:hAnsi="Bookman Old Style"/>
        </w:rPr>
        <w:t>l’</w:t>
      </w:r>
      <w:r w:rsidR="00906672" w:rsidRPr="007558A0">
        <w:rPr>
          <w:rFonts w:ascii="Bookman Old Style" w:hAnsi="Bookman Old Style"/>
        </w:rPr>
        <w:t xml:space="preserve">aliquota massima e </w:t>
      </w:r>
      <w:r w:rsidR="00F932E7">
        <w:rPr>
          <w:rFonts w:ascii="Bookman Old Style" w:hAnsi="Bookman Old Style"/>
        </w:rPr>
        <w:t xml:space="preserve">dei </w:t>
      </w:r>
      <w:r w:rsidR="00906672" w:rsidRPr="007558A0">
        <w:rPr>
          <w:rFonts w:ascii="Bookman Old Style" w:hAnsi="Bookman Old Style"/>
        </w:rPr>
        <w:t>soggettiv</w:t>
      </w:r>
      <w:r w:rsidR="00F932E7">
        <w:rPr>
          <w:rFonts w:ascii="Bookman Old Style" w:hAnsi="Bookman Old Style"/>
        </w:rPr>
        <w:t>i</w:t>
      </w:r>
      <w:r w:rsidR="00906672" w:rsidRPr="007558A0">
        <w:rPr>
          <w:rFonts w:ascii="Bookman Old Style" w:hAnsi="Bookman Old Style"/>
        </w:rPr>
        <w:t xml:space="preserve"> passiv</w:t>
      </w:r>
      <w:r w:rsidR="00F932E7">
        <w:rPr>
          <w:rFonts w:ascii="Bookman Old Style" w:hAnsi="Bookman Old Style"/>
        </w:rPr>
        <w:t>i</w:t>
      </w:r>
      <w:r w:rsidR="00906672" w:rsidRPr="007558A0">
        <w:rPr>
          <w:rFonts w:ascii="Bookman Old Style" w:hAnsi="Bookman Old Style"/>
        </w:rPr>
        <w:t xml:space="preserve"> (art.52</w:t>
      </w:r>
      <w:r w:rsidR="00FC0EAA">
        <w:rPr>
          <w:rFonts w:ascii="Bookman Old Style" w:hAnsi="Bookman Old Style"/>
        </w:rPr>
        <w:t>,</w:t>
      </w:r>
      <w:r w:rsidR="00906672" w:rsidRPr="007558A0">
        <w:rPr>
          <w:rFonts w:ascii="Bookman Old Style" w:hAnsi="Bookman Old Style"/>
        </w:rPr>
        <w:t xml:space="preserve"> d.lgs 446/1997)</w:t>
      </w:r>
      <w:r w:rsidR="00650BBE">
        <w:rPr>
          <w:rFonts w:ascii="Bookman Old Style" w:hAnsi="Bookman Old Style"/>
        </w:rPr>
        <w:t>. La stessa norma attributiva delle competenze a</w:t>
      </w:r>
      <w:r w:rsidR="000C05E9">
        <w:rPr>
          <w:rFonts w:ascii="Bookman Old Style" w:hAnsi="Bookman Old Style"/>
        </w:rPr>
        <w:t>ll’Autori</w:t>
      </w:r>
      <w:r w:rsidR="00A52061">
        <w:rPr>
          <w:rFonts w:ascii="Bookman Old Style" w:hAnsi="Bookman Old Style"/>
        </w:rPr>
        <w:t xml:space="preserve">tà </w:t>
      </w:r>
      <w:r w:rsidR="00DC742A" w:rsidRPr="007558A0">
        <w:rPr>
          <w:rFonts w:ascii="Bookman Old Style" w:hAnsi="Bookman Old Style"/>
        </w:rPr>
        <w:t>fa salve comunque “</w:t>
      </w:r>
      <w:r w:rsidR="00DC742A" w:rsidRPr="00A52061">
        <w:rPr>
          <w:rFonts w:ascii="Bookman Old Style" w:hAnsi="Bookman Old Style"/>
          <w:b/>
          <w:i/>
          <w:iCs/>
        </w:rPr>
        <w:t>le attribuzioni riservate alle autonomie locali</w:t>
      </w:r>
      <w:r w:rsidR="00DC742A" w:rsidRPr="007558A0">
        <w:rPr>
          <w:rFonts w:ascii="Bookman Old Style" w:hAnsi="Bookman Old Style"/>
        </w:rPr>
        <w:t>”</w:t>
      </w:r>
      <w:r w:rsidR="001E445C">
        <w:rPr>
          <w:rFonts w:ascii="Bookman Old Style" w:hAnsi="Bookman Old Style"/>
        </w:rPr>
        <w:t xml:space="preserve"> (</w:t>
      </w:r>
      <w:r w:rsidR="001E445C" w:rsidRPr="007558A0">
        <w:rPr>
          <w:rFonts w:ascii="Bookman Old Style" w:hAnsi="Bookman Old Style"/>
        </w:rPr>
        <w:t>art. 2, co</w:t>
      </w:r>
      <w:r w:rsidR="001E445C">
        <w:rPr>
          <w:rFonts w:ascii="Bookman Old Style" w:hAnsi="Bookman Old Style"/>
        </w:rPr>
        <w:t xml:space="preserve">. </w:t>
      </w:r>
      <w:r w:rsidR="001E445C" w:rsidRPr="007558A0">
        <w:rPr>
          <w:rFonts w:ascii="Bookman Old Style" w:hAnsi="Bookman Old Style"/>
        </w:rPr>
        <w:t>14, legge 481/1995</w:t>
      </w:r>
      <w:r w:rsidR="001E445C" w:rsidRPr="007558A0">
        <w:rPr>
          <w:rStyle w:val="Rimandonotaapidipagina"/>
          <w:rFonts w:ascii="Bookman Old Style" w:hAnsi="Bookman Old Style"/>
          <w:vertAlign w:val="superscript"/>
        </w:rPr>
        <w:footnoteReference w:id="5"/>
      </w:r>
      <w:r w:rsidR="001E445C">
        <w:rPr>
          <w:rFonts w:ascii="Bookman Old Style" w:hAnsi="Bookman Old Style"/>
        </w:rPr>
        <w:t>)</w:t>
      </w:r>
      <w:r w:rsidR="00DC742A" w:rsidRPr="007558A0">
        <w:rPr>
          <w:rFonts w:ascii="Bookman Old Style" w:hAnsi="Bookman Old Style"/>
        </w:rPr>
        <w:t>, in perfetta aderenza al quadro normativo sopra riportato ed approfondito nella nota IFEL del 6 aprile 2022</w:t>
      </w:r>
      <w:r w:rsidR="00636CDD">
        <w:rPr>
          <w:rFonts w:ascii="Bookman Old Style" w:hAnsi="Bookman Old Style"/>
        </w:rPr>
        <w:t xml:space="preserve"> (</w:t>
      </w:r>
      <w:proofErr w:type="spellStart"/>
      <w:r w:rsidR="00636CDD">
        <w:rPr>
          <w:rFonts w:ascii="Bookman Old Style" w:hAnsi="Bookman Old Style"/>
        </w:rPr>
        <w:t>ved</w:t>
      </w:r>
      <w:proofErr w:type="spellEnd"/>
      <w:r w:rsidR="00636CDD">
        <w:rPr>
          <w:rFonts w:ascii="Bookman Old Style" w:hAnsi="Bookman Old Style"/>
        </w:rPr>
        <w:t>. nota 2)</w:t>
      </w:r>
      <w:r w:rsidR="00DC742A" w:rsidRPr="007558A0">
        <w:rPr>
          <w:rFonts w:ascii="Bookman Old Style" w:hAnsi="Bookman Old Style"/>
        </w:rPr>
        <w:t>.</w:t>
      </w:r>
    </w:p>
    <w:p w14:paraId="49372D7B" w14:textId="01DA12AB" w:rsidR="00A63D1C" w:rsidRDefault="000E7C16" w:rsidP="00480183">
      <w:pPr>
        <w:spacing w:after="80" w:line="252" w:lineRule="auto"/>
        <w:ind w:firstLine="0"/>
        <w:jc w:val="both"/>
        <w:rPr>
          <w:rFonts w:ascii="Bookman Old Style" w:hAnsi="Bookman Old Style"/>
        </w:rPr>
      </w:pPr>
      <w:r w:rsidRPr="000E7C16">
        <w:rPr>
          <w:rFonts w:ascii="Bookman Old Style" w:hAnsi="Bookman Old Style"/>
        </w:rPr>
        <w:t>Il recepimento della delibera ARERA dovr</w:t>
      </w:r>
      <w:r w:rsidR="00A63D1C">
        <w:rPr>
          <w:rFonts w:ascii="Bookman Old Style" w:hAnsi="Bookman Old Style"/>
        </w:rPr>
        <w:t>ebbe</w:t>
      </w:r>
      <w:r w:rsidRPr="000E7C16">
        <w:rPr>
          <w:rFonts w:ascii="Bookman Old Style" w:hAnsi="Bookman Old Style"/>
        </w:rPr>
        <w:t xml:space="preserve"> quindi sottostare al rispetto di due principi cardini: </w:t>
      </w:r>
    </w:p>
    <w:p w14:paraId="66E735C5" w14:textId="0A90B912" w:rsidR="00A63D1C" w:rsidRPr="00673716" w:rsidRDefault="000E7C16" w:rsidP="00673716">
      <w:pPr>
        <w:pStyle w:val="Paragrafoelenco"/>
        <w:numPr>
          <w:ilvl w:val="0"/>
          <w:numId w:val="39"/>
        </w:numPr>
        <w:spacing w:after="80" w:line="252" w:lineRule="auto"/>
        <w:ind w:left="426"/>
        <w:jc w:val="both"/>
        <w:rPr>
          <w:rFonts w:ascii="Bookman Old Style" w:hAnsi="Bookman Old Style"/>
        </w:rPr>
      </w:pPr>
      <w:r w:rsidRPr="00673716">
        <w:rPr>
          <w:rFonts w:ascii="Bookman Old Style" w:hAnsi="Bookman Old Style"/>
        </w:rPr>
        <w:t xml:space="preserve">il rispetto del principio della legalità, che impone di dare prevalenza, in caso di contrasto, alla disciplina speciale tributaria; </w:t>
      </w:r>
    </w:p>
    <w:p w14:paraId="76EACC45" w14:textId="66524BAB" w:rsidR="0095716E" w:rsidRPr="00673716" w:rsidRDefault="000E7C16" w:rsidP="00673716">
      <w:pPr>
        <w:pStyle w:val="Paragrafoelenco"/>
        <w:numPr>
          <w:ilvl w:val="0"/>
          <w:numId w:val="39"/>
        </w:numPr>
        <w:spacing w:after="80" w:line="252" w:lineRule="auto"/>
        <w:ind w:left="426"/>
        <w:jc w:val="both"/>
        <w:rPr>
          <w:rFonts w:ascii="Bookman Old Style" w:hAnsi="Bookman Old Style"/>
        </w:rPr>
      </w:pPr>
      <w:r w:rsidRPr="00673716">
        <w:rPr>
          <w:rFonts w:ascii="Bookman Old Style" w:hAnsi="Bookman Old Style"/>
        </w:rPr>
        <w:t>il rispetto dell’autonomia organizzativa del Comune, che impone di dare attuazione alla delibera 15/2022 nei limiti in cui il recepimento sia possibile, data l’organizzazione comunale.</w:t>
      </w:r>
    </w:p>
    <w:p w14:paraId="4666F297" w14:textId="2ADE20E0" w:rsidR="00FD34EF" w:rsidRPr="00896317" w:rsidRDefault="00FD34EF" w:rsidP="00FD34EF">
      <w:pPr>
        <w:pStyle w:val="Titolo2"/>
        <w:rPr>
          <w:rFonts w:ascii="Bookman Old Style" w:hAnsi="Bookman Old Style"/>
          <w:i/>
          <w:iCs/>
        </w:rPr>
      </w:pPr>
      <w:bookmarkStart w:id="1" w:name="_Toc121591182"/>
      <w:r w:rsidRPr="00896317">
        <w:rPr>
          <w:rFonts w:ascii="Bookman Old Style" w:hAnsi="Bookman Old Style"/>
          <w:i/>
          <w:iCs/>
        </w:rPr>
        <w:t>La “richiesta di attivazione del servizio”</w:t>
      </w:r>
      <w:bookmarkEnd w:id="1"/>
    </w:p>
    <w:p w14:paraId="2343BB3F" w14:textId="47E3C27B" w:rsidR="00BC36C9" w:rsidRDefault="008A0A08" w:rsidP="005954BC">
      <w:pPr>
        <w:spacing w:after="80" w:line="252" w:lineRule="auto"/>
        <w:ind w:firstLine="0"/>
        <w:jc w:val="both"/>
        <w:rPr>
          <w:rFonts w:ascii="Bookman Old Style" w:hAnsi="Bookman Old Style"/>
        </w:rPr>
      </w:pPr>
      <w:r>
        <w:rPr>
          <w:rFonts w:ascii="Bookman Old Style" w:hAnsi="Bookman Old Style"/>
        </w:rPr>
        <w:t>L</w:t>
      </w:r>
      <w:r w:rsidR="00953930">
        <w:rPr>
          <w:rFonts w:ascii="Bookman Old Style" w:hAnsi="Bookman Old Style"/>
        </w:rPr>
        <w:t>o schema di regolamento allegato</w:t>
      </w:r>
      <w:r w:rsidR="004F3197">
        <w:rPr>
          <w:rFonts w:ascii="Bookman Old Style" w:hAnsi="Bookman Old Style"/>
        </w:rPr>
        <w:t xml:space="preserve"> punta a </w:t>
      </w:r>
      <w:r w:rsidR="00890328">
        <w:rPr>
          <w:rFonts w:ascii="Bookman Old Style" w:hAnsi="Bookman Old Style"/>
        </w:rPr>
        <w:t>recepire</w:t>
      </w:r>
      <w:r w:rsidR="008674E8">
        <w:rPr>
          <w:rFonts w:ascii="Bookman Old Style" w:hAnsi="Bookman Old Style"/>
        </w:rPr>
        <w:t xml:space="preserve"> e adattare all’organizzazione comunale</w:t>
      </w:r>
      <w:r w:rsidR="00890328">
        <w:rPr>
          <w:rFonts w:ascii="Bookman Old Style" w:hAnsi="Bookman Old Style"/>
        </w:rPr>
        <w:t xml:space="preserve"> alcune definizioni </w:t>
      </w:r>
      <w:r w:rsidR="00302FD4">
        <w:rPr>
          <w:rFonts w:ascii="Bookman Old Style" w:hAnsi="Bookman Old Style"/>
        </w:rPr>
        <w:t>adott</w:t>
      </w:r>
      <w:r w:rsidR="00890328">
        <w:rPr>
          <w:rFonts w:ascii="Bookman Old Style" w:hAnsi="Bookman Old Style"/>
        </w:rPr>
        <w:t>ate da ARERA</w:t>
      </w:r>
      <w:r w:rsidR="004F3197">
        <w:rPr>
          <w:rFonts w:ascii="Bookman Old Style" w:hAnsi="Bookman Old Style"/>
        </w:rPr>
        <w:t xml:space="preserve"> </w:t>
      </w:r>
      <w:r w:rsidR="00302FD4">
        <w:rPr>
          <w:rFonts w:ascii="Bookman Old Style" w:hAnsi="Bookman Old Style"/>
        </w:rPr>
        <w:t xml:space="preserve">e mutuate dagli altri settori regolati (ad es. il settore idrico e quello energetico), </w:t>
      </w:r>
      <w:r w:rsidR="00890328">
        <w:rPr>
          <w:rFonts w:ascii="Bookman Old Style" w:hAnsi="Bookman Old Style"/>
        </w:rPr>
        <w:t>difficilmente replicabili in ambito tributario</w:t>
      </w:r>
      <w:r w:rsidR="004F3197">
        <w:rPr>
          <w:rFonts w:ascii="Bookman Old Style" w:hAnsi="Bookman Old Style"/>
        </w:rPr>
        <w:t>.</w:t>
      </w:r>
      <w:r w:rsidR="009C2AA1">
        <w:rPr>
          <w:rFonts w:ascii="Bookman Old Style" w:hAnsi="Bookman Old Style"/>
        </w:rPr>
        <w:t xml:space="preserve"> </w:t>
      </w:r>
      <w:r w:rsidR="004F3197">
        <w:rPr>
          <w:rFonts w:ascii="Bookman Old Style" w:hAnsi="Bookman Old Style"/>
        </w:rPr>
        <w:t>T</w:t>
      </w:r>
      <w:r w:rsidR="00302FD4">
        <w:rPr>
          <w:rFonts w:ascii="Bookman Old Style" w:hAnsi="Bookman Old Style"/>
        </w:rPr>
        <w:t xml:space="preserve">ra </w:t>
      </w:r>
      <w:r w:rsidR="0033609D">
        <w:rPr>
          <w:rFonts w:ascii="Bookman Old Style" w:hAnsi="Bookman Old Style"/>
        </w:rPr>
        <w:t xml:space="preserve">questi va in primo luogo menzionata </w:t>
      </w:r>
      <w:r w:rsidR="00890328">
        <w:rPr>
          <w:rFonts w:ascii="Bookman Old Style" w:hAnsi="Bookman Old Style"/>
        </w:rPr>
        <w:t>la “richiesta di attivazione del servizio”, che</w:t>
      </w:r>
      <w:r w:rsidR="0092578B">
        <w:rPr>
          <w:rFonts w:ascii="Bookman Old Style" w:hAnsi="Bookman Old Style"/>
        </w:rPr>
        <w:t xml:space="preserve"> per le caratteristiche </w:t>
      </w:r>
      <w:r w:rsidR="00911959">
        <w:rPr>
          <w:rFonts w:ascii="Bookman Old Style" w:hAnsi="Bookman Old Style"/>
        </w:rPr>
        <w:t xml:space="preserve">del servizio di gestione </w:t>
      </w:r>
      <w:r w:rsidR="007D5765" w:rsidRPr="00C475E3">
        <w:rPr>
          <w:rFonts w:ascii="Bookman Old Style" w:hAnsi="Bookman Old Style"/>
        </w:rPr>
        <w:t xml:space="preserve">di raccolta, trasporto e smaltimento dei rifiuti </w:t>
      </w:r>
      <w:r w:rsidR="00911959">
        <w:rPr>
          <w:rFonts w:ascii="Bookman Old Style" w:hAnsi="Bookman Old Style"/>
        </w:rPr>
        <w:t>comunale</w:t>
      </w:r>
      <w:r w:rsidR="00FE4E05">
        <w:rPr>
          <w:rFonts w:ascii="Bookman Old Style" w:hAnsi="Bookman Old Style"/>
        </w:rPr>
        <w:t xml:space="preserve">, </w:t>
      </w:r>
      <w:r w:rsidR="00C475E3" w:rsidRPr="00C475E3">
        <w:rPr>
          <w:rFonts w:ascii="Bookman Old Style" w:hAnsi="Bookman Old Style"/>
        </w:rPr>
        <w:t>non è condizionat</w:t>
      </w:r>
      <w:r w:rsidR="00FE4E05">
        <w:rPr>
          <w:rFonts w:ascii="Bookman Old Style" w:hAnsi="Bookman Old Style"/>
        </w:rPr>
        <w:t>o</w:t>
      </w:r>
      <w:r w:rsidR="00C475E3" w:rsidRPr="00C475E3">
        <w:rPr>
          <w:rFonts w:ascii="Bookman Old Style" w:hAnsi="Bookman Old Style"/>
        </w:rPr>
        <w:t xml:space="preserve"> alla presentazione di una specifica richiesta </w:t>
      </w:r>
      <w:r w:rsidR="0033609D">
        <w:rPr>
          <w:rFonts w:ascii="Bookman Old Style" w:hAnsi="Bookman Old Style"/>
        </w:rPr>
        <w:t>da parte del contri</w:t>
      </w:r>
      <w:r w:rsidR="00D13F96">
        <w:rPr>
          <w:rFonts w:ascii="Bookman Old Style" w:hAnsi="Bookman Old Style"/>
        </w:rPr>
        <w:t>-</w:t>
      </w:r>
      <w:proofErr w:type="spellStart"/>
      <w:r w:rsidR="0033609D">
        <w:rPr>
          <w:rFonts w:ascii="Bookman Old Style" w:hAnsi="Bookman Old Style"/>
        </w:rPr>
        <w:t>buente</w:t>
      </w:r>
      <w:proofErr w:type="spellEnd"/>
      <w:r w:rsidR="0033609D">
        <w:rPr>
          <w:rFonts w:ascii="Bookman Old Style" w:hAnsi="Bookman Old Style"/>
        </w:rPr>
        <w:t>/utente</w:t>
      </w:r>
      <w:r w:rsidR="00C475E3" w:rsidRPr="00C475E3">
        <w:rPr>
          <w:rFonts w:ascii="Bookman Old Style" w:hAnsi="Bookman Old Style"/>
        </w:rPr>
        <w:t>. Il servizio, infatti, soprattutto negli agglomerati urbani e con riferimento alle utenze domestiche, è reso incondizionatamente a favore di tutti gli utenti che, pertanto, conferiscono i propri rifiuti senza presentare una preventiva richiesta e senza stipulare preventivamente alcun contratto.</w:t>
      </w:r>
      <w:r w:rsidR="00890328">
        <w:rPr>
          <w:rFonts w:ascii="Bookman Old Style" w:hAnsi="Bookman Old Style"/>
        </w:rPr>
        <w:t xml:space="preserve"> </w:t>
      </w:r>
    </w:p>
    <w:p w14:paraId="3496488C" w14:textId="3BB77F4B" w:rsidR="002B725B" w:rsidRDefault="00290340" w:rsidP="005954BC">
      <w:pPr>
        <w:spacing w:after="80" w:line="252" w:lineRule="auto"/>
        <w:ind w:firstLine="0"/>
        <w:jc w:val="both"/>
        <w:rPr>
          <w:rFonts w:ascii="Bookman Old Style" w:hAnsi="Bookman Old Style"/>
        </w:rPr>
      </w:pPr>
      <w:r>
        <w:rPr>
          <w:rFonts w:ascii="Bookman Old Style" w:hAnsi="Bookman Old Style"/>
        </w:rPr>
        <w:t>La “richiesta di attivazione del servizio”</w:t>
      </w:r>
      <w:r w:rsidR="001E1665">
        <w:rPr>
          <w:rFonts w:ascii="Bookman Old Style" w:hAnsi="Bookman Old Style"/>
        </w:rPr>
        <w:t xml:space="preserve"> così come definita da ARERA</w:t>
      </w:r>
      <w:r w:rsidR="006B0D41">
        <w:rPr>
          <w:rFonts w:ascii="Bookman Old Style" w:hAnsi="Bookman Old Style"/>
        </w:rPr>
        <w:t>,</w:t>
      </w:r>
      <w:r w:rsidR="001E1665">
        <w:rPr>
          <w:rFonts w:ascii="Bookman Old Style" w:hAnsi="Bookman Old Style"/>
        </w:rPr>
        <w:t xml:space="preserve"> </w:t>
      </w:r>
      <w:r w:rsidR="00890328">
        <w:rPr>
          <w:rFonts w:ascii="Bookman Old Style" w:hAnsi="Bookman Old Style"/>
        </w:rPr>
        <w:t xml:space="preserve">può trovare concreta applicazione solo in presenza di tariffa corrispettiva, con </w:t>
      </w:r>
      <w:r w:rsidR="00302FD4">
        <w:rPr>
          <w:rFonts w:ascii="Bookman Old Style" w:hAnsi="Bookman Old Style"/>
        </w:rPr>
        <w:t xml:space="preserve">il sistema di </w:t>
      </w:r>
      <w:r w:rsidR="00890328">
        <w:rPr>
          <w:rFonts w:ascii="Bookman Old Style" w:hAnsi="Bookman Old Style"/>
        </w:rPr>
        <w:t xml:space="preserve">raccolta </w:t>
      </w:r>
      <w:r w:rsidR="00302FD4">
        <w:rPr>
          <w:rFonts w:ascii="Bookman Old Style" w:hAnsi="Bookman Old Style"/>
        </w:rPr>
        <w:t>“</w:t>
      </w:r>
      <w:r w:rsidR="00890328">
        <w:rPr>
          <w:rFonts w:ascii="Bookman Old Style" w:hAnsi="Bookman Old Style"/>
        </w:rPr>
        <w:t>porta a porta</w:t>
      </w:r>
      <w:r w:rsidR="00302FD4">
        <w:rPr>
          <w:rFonts w:ascii="Bookman Old Style" w:hAnsi="Bookman Old Style"/>
        </w:rPr>
        <w:t>”</w:t>
      </w:r>
      <w:r w:rsidR="00C8598C" w:rsidRPr="00C8598C">
        <w:rPr>
          <w:rStyle w:val="Rimandonotaapidipagina"/>
          <w:rFonts w:ascii="Bookman Old Style" w:hAnsi="Bookman Old Style"/>
          <w:vertAlign w:val="superscript"/>
        </w:rPr>
        <w:footnoteReference w:id="6"/>
      </w:r>
      <w:r w:rsidR="00D00E19">
        <w:rPr>
          <w:rFonts w:ascii="Bookman Old Style" w:hAnsi="Bookman Old Style"/>
        </w:rPr>
        <w:t>, poiché solo in</w:t>
      </w:r>
      <w:r w:rsidR="00890328">
        <w:rPr>
          <w:rFonts w:ascii="Bookman Old Style" w:hAnsi="Bookman Old Style"/>
        </w:rPr>
        <w:t xml:space="preserve"> tale sistema la richiesta di attivazione del servizio corrisponde alla richiesta di fornitura delle dotazioni necessarie all’utente</w:t>
      </w:r>
      <w:r w:rsidR="00982991" w:rsidRPr="00FF7884">
        <w:rPr>
          <w:rStyle w:val="Rimandonotaapidipagina"/>
          <w:rFonts w:ascii="Bookman Old Style" w:hAnsi="Bookman Old Style"/>
          <w:sz w:val="14"/>
          <w:szCs w:val="14"/>
        </w:rPr>
        <w:footnoteReference w:id="7"/>
      </w:r>
      <w:r w:rsidR="00890328">
        <w:rPr>
          <w:rFonts w:ascii="Bookman Old Style" w:hAnsi="Bookman Old Style"/>
        </w:rPr>
        <w:t xml:space="preserve">. In ambito tributario, </w:t>
      </w:r>
      <w:r w:rsidR="00E43539">
        <w:rPr>
          <w:rFonts w:ascii="Bookman Old Style" w:hAnsi="Bookman Old Style"/>
        </w:rPr>
        <w:t xml:space="preserve">invece, </w:t>
      </w:r>
      <w:r w:rsidR="00D00E19">
        <w:rPr>
          <w:rFonts w:ascii="Bookman Old Style" w:hAnsi="Bookman Old Style"/>
        </w:rPr>
        <w:t xml:space="preserve">come più volte </w:t>
      </w:r>
      <w:r w:rsidR="00E43539">
        <w:rPr>
          <w:rFonts w:ascii="Bookman Old Style" w:hAnsi="Bookman Old Style"/>
        </w:rPr>
        <w:t xml:space="preserve">ricordato, </w:t>
      </w:r>
      <w:r w:rsidR="00890328">
        <w:rPr>
          <w:rFonts w:ascii="Bookman Old Style" w:hAnsi="Bookman Old Style"/>
        </w:rPr>
        <w:t>la richiesta di attivazione del servizio</w:t>
      </w:r>
      <w:r w:rsidR="00E43539">
        <w:rPr>
          <w:rFonts w:ascii="Bookman Old Style" w:hAnsi="Bookman Old Style"/>
        </w:rPr>
        <w:t xml:space="preserve"> </w:t>
      </w:r>
      <w:r w:rsidR="00394D96">
        <w:rPr>
          <w:rFonts w:ascii="Bookman Old Style" w:hAnsi="Bookman Old Style"/>
        </w:rPr>
        <w:t xml:space="preserve">presenta </w:t>
      </w:r>
      <w:r w:rsidR="00394D96">
        <w:rPr>
          <w:rFonts w:ascii="Bookman Old Style" w:hAnsi="Bookman Old Style"/>
        </w:rPr>
        <w:lastRenderedPageBreak/>
        <w:t xml:space="preserve">più difficoltà di recepimento, </w:t>
      </w:r>
      <w:r w:rsidR="00890328">
        <w:rPr>
          <w:rFonts w:ascii="Bookman Old Style" w:hAnsi="Bookman Old Style"/>
        </w:rPr>
        <w:t>non solo perché nei sistemi di raccolta stradale il servizio viene comunque erogato</w:t>
      </w:r>
      <w:r w:rsidR="00640C6C" w:rsidRPr="00640C6C">
        <w:rPr>
          <w:rStyle w:val="Rimandonotaapidipagina"/>
          <w:rFonts w:ascii="Bookman Old Style" w:hAnsi="Bookman Old Style"/>
          <w:vertAlign w:val="superscript"/>
        </w:rPr>
        <w:footnoteReference w:id="8"/>
      </w:r>
      <w:r w:rsidR="00890328">
        <w:rPr>
          <w:rFonts w:ascii="Bookman Old Style" w:hAnsi="Bookman Old Style"/>
        </w:rPr>
        <w:t>, non essendo subordinato ad alcuna r</w:t>
      </w:r>
      <w:r w:rsidR="007D4238">
        <w:rPr>
          <w:rFonts w:ascii="Bookman Old Style" w:hAnsi="Bookman Old Style"/>
        </w:rPr>
        <w:t xml:space="preserve">ichiesta, ma anche perché tale richiesta non può certamente sostituirsi alla dichiarazione </w:t>
      </w:r>
      <w:r w:rsidR="003D0CA6">
        <w:rPr>
          <w:rFonts w:ascii="Bookman Old Style" w:hAnsi="Bookman Old Style"/>
        </w:rPr>
        <w:t xml:space="preserve">TARI, </w:t>
      </w:r>
      <w:r w:rsidR="007D4238">
        <w:rPr>
          <w:rFonts w:ascii="Bookman Old Style" w:hAnsi="Bookman Old Style"/>
        </w:rPr>
        <w:t>in</w:t>
      </w:r>
      <w:r w:rsidR="003D0CA6">
        <w:rPr>
          <w:rFonts w:ascii="Bookman Old Style" w:hAnsi="Bookman Old Style"/>
        </w:rPr>
        <w:t>i</w:t>
      </w:r>
      <w:r w:rsidR="007D4238">
        <w:rPr>
          <w:rFonts w:ascii="Bookman Old Style" w:hAnsi="Bookman Old Style"/>
        </w:rPr>
        <w:t>ziale</w:t>
      </w:r>
      <w:r w:rsidR="003D0CA6">
        <w:rPr>
          <w:rFonts w:ascii="Bookman Old Style" w:hAnsi="Bookman Old Style"/>
        </w:rPr>
        <w:t xml:space="preserve"> </w:t>
      </w:r>
      <w:r w:rsidR="007D4238">
        <w:rPr>
          <w:rFonts w:ascii="Bookman Old Style" w:hAnsi="Bookman Old Style"/>
        </w:rPr>
        <w:t xml:space="preserve">o di variazione, alla cui omissione o infedeltà consegue l’applicazione delle sanzioni previste dalla normativa, oltre al potere di accertamento dei </w:t>
      </w:r>
      <w:r w:rsidR="00302FD4">
        <w:rPr>
          <w:rFonts w:ascii="Bookman Old Style" w:hAnsi="Bookman Old Style"/>
        </w:rPr>
        <w:t>C</w:t>
      </w:r>
      <w:r w:rsidR="007D4238">
        <w:rPr>
          <w:rFonts w:ascii="Bookman Old Style" w:hAnsi="Bookman Old Style"/>
        </w:rPr>
        <w:t>omuni</w:t>
      </w:r>
      <w:r w:rsidR="00302FD4">
        <w:rPr>
          <w:rFonts w:ascii="Bookman Old Style" w:hAnsi="Bookman Old Style"/>
        </w:rPr>
        <w:t>,</w:t>
      </w:r>
      <w:r w:rsidR="007D4238">
        <w:rPr>
          <w:rFonts w:ascii="Bookman Old Style" w:hAnsi="Bookman Old Style"/>
        </w:rPr>
        <w:t xml:space="preserve"> da esercitarsi entro prestabiliti termini decadenziali. </w:t>
      </w:r>
    </w:p>
    <w:p w14:paraId="7D33BCFE" w14:textId="473AD168" w:rsidR="006D0FD5" w:rsidRDefault="00D62BE7" w:rsidP="00480183">
      <w:pPr>
        <w:spacing w:after="80" w:line="252" w:lineRule="auto"/>
        <w:ind w:firstLine="0"/>
        <w:jc w:val="both"/>
        <w:rPr>
          <w:rFonts w:ascii="Bookman Old Style" w:hAnsi="Bookman Old Style"/>
        </w:rPr>
      </w:pPr>
      <w:r>
        <w:rPr>
          <w:rFonts w:ascii="Bookman Old Style" w:hAnsi="Bookman Old Style"/>
        </w:rPr>
        <w:t xml:space="preserve">Pertanto, si ritiene che </w:t>
      </w:r>
      <w:r w:rsidRPr="00921ED1">
        <w:rPr>
          <w:rFonts w:ascii="Bookman Old Style" w:hAnsi="Bookman Old Style"/>
          <w:b/>
          <w:bCs/>
        </w:rPr>
        <w:t>la</w:t>
      </w:r>
      <w:r w:rsidR="00464674" w:rsidRPr="00921ED1">
        <w:rPr>
          <w:rFonts w:ascii="Bookman Old Style" w:hAnsi="Bookman Old Style"/>
          <w:b/>
          <w:bCs/>
        </w:rPr>
        <w:t xml:space="preserve"> “richiesta di attivazione del servizio” non può sostituire la dichiarazione iniziale TARI, né ovviamente sovrapporsi inutilmente</w:t>
      </w:r>
      <w:r w:rsidR="009F47BA" w:rsidRPr="00921ED1">
        <w:rPr>
          <w:rFonts w:ascii="Bookman Old Style" w:hAnsi="Bookman Old Style"/>
          <w:b/>
          <w:bCs/>
        </w:rPr>
        <w:t xml:space="preserve"> ad essa</w:t>
      </w:r>
      <w:r w:rsidR="00464674" w:rsidRPr="00464674">
        <w:rPr>
          <w:rFonts w:ascii="Bookman Old Style" w:hAnsi="Bookman Old Style"/>
        </w:rPr>
        <w:t xml:space="preserve">, anche considerando che alla sua omissione non consegue alcuna irrogazione di sanzione, normativamente prevista solo per le dichiarazioni tributarie, né, ovviamente, può conseguire la mancata erogazione del servizio, men che meno nei sistemi di raccolta stradale. Pertanto, essa assume valore, come detto, solo nei sistemi di tariffazione patrimoniale, con </w:t>
      </w:r>
      <w:r w:rsidR="000069A3">
        <w:rPr>
          <w:rFonts w:ascii="Bookman Old Style" w:hAnsi="Bookman Old Style"/>
        </w:rPr>
        <w:t xml:space="preserve">metodi </w:t>
      </w:r>
      <w:r w:rsidR="00464674" w:rsidRPr="00464674">
        <w:rPr>
          <w:rFonts w:ascii="Bookman Old Style" w:hAnsi="Bookman Old Style"/>
        </w:rPr>
        <w:t>di raccolta porta a porta</w:t>
      </w:r>
      <w:r w:rsidR="00C8598C" w:rsidRPr="00433CCE">
        <w:rPr>
          <w:rStyle w:val="Rimandonotaapidipagina"/>
          <w:rFonts w:ascii="Bookman Old Style" w:hAnsi="Bookman Old Style"/>
          <w:sz w:val="20"/>
          <w:szCs w:val="20"/>
          <w:vertAlign w:val="superscript"/>
        </w:rPr>
        <w:footnoteReference w:id="9"/>
      </w:r>
      <w:r w:rsidR="00464674" w:rsidRPr="00464674">
        <w:rPr>
          <w:rFonts w:ascii="Bookman Old Style" w:hAnsi="Bookman Old Style"/>
        </w:rPr>
        <w:t xml:space="preserve">, e coincide, essenzialmente, nella richiesta di fornitura delle dotazioni di servizio. </w:t>
      </w:r>
    </w:p>
    <w:p w14:paraId="3E8AFB84" w14:textId="763985CC" w:rsidR="00DB0800" w:rsidRPr="00DB0800" w:rsidRDefault="00DB0800" w:rsidP="00480183">
      <w:pPr>
        <w:spacing w:after="80" w:line="252" w:lineRule="auto"/>
        <w:ind w:firstLine="0"/>
        <w:jc w:val="both"/>
        <w:rPr>
          <w:rFonts w:ascii="Bookman Old Style" w:hAnsi="Bookman Old Style"/>
        </w:rPr>
      </w:pPr>
      <w:r w:rsidRPr="00DB0800">
        <w:rPr>
          <w:rFonts w:ascii="Bookman Old Style" w:hAnsi="Bookman Old Style"/>
        </w:rPr>
        <w:t xml:space="preserve">Anche la </w:t>
      </w:r>
      <w:r w:rsidRPr="00DB0800">
        <w:rPr>
          <w:rFonts w:ascii="Bookman Old Style" w:hAnsi="Bookman Old Style"/>
          <w:b/>
          <w:bCs/>
        </w:rPr>
        <w:t>tempistica di presentazione della dichiarazione TARI</w:t>
      </w:r>
      <w:r w:rsidRPr="00DB0800">
        <w:rPr>
          <w:rFonts w:ascii="Bookman Old Style" w:hAnsi="Bookman Old Style"/>
        </w:rPr>
        <w:t>, prevista direttamente dalla legge e potenzialmente derogabile dal regolamento comunale</w:t>
      </w:r>
      <w:r w:rsidR="00B8468F" w:rsidRPr="009D4E5A">
        <w:rPr>
          <w:rFonts w:ascii="Bookman Old Style" w:hAnsi="Bookman Old Style"/>
          <w:sz w:val="20"/>
          <w:szCs w:val="20"/>
          <w:vertAlign w:val="superscript"/>
        </w:rPr>
        <w:footnoteReference w:id="10"/>
      </w:r>
      <w:r w:rsidRPr="00DB0800">
        <w:rPr>
          <w:rFonts w:ascii="Bookman Old Style" w:hAnsi="Bookman Old Style"/>
        </w:rPr>
        <w:t xml:space="preserve">, entra in conflitto con la regolazione da parte di ARERA, che prevede il termine di 90 giorni per la presentazione </w:t>
      </w:r>
      <w:r w:rsidR="007E29BC" w:rsidRPr="00DB0800">
        <w:rPr>
          <w:rFonts w:ascii="Bookman Old Style" w:hAnsi="Bookman Old Style"/>
        </w:rPr>
        <w:t xml:space="preserve">della dichiarazione </w:t>
      </w:r>
      <w:r w:rsidRPr="00DB0800">
        <w:rPr>
          <w:rFonts w:ascii="Bookman Old Style" w:hAnsi="Bookman Old Style"/>
        </w:rPr>
        <w:t xml:space="preserve">da parte del contribuente. Tale termine, si ricorda, è </w:t>
      </w:r>
      <w:r w:rsidR="005B1D45" w:rsidRPr="00DB0800">
        <w:rPr>
          <w:rFonts w:ascii="Bookman Old Style" w:hAnsi="Bookman Old Style"/>
        </w:rPr>
        <w:t xml:space="preserve">altresì </w:t>
      </w:r>
      <w:r w:rsidRPr="00DB0800">
        <w:rPr>
          <w:rFonts w:ascii="Bookman Old Style" w:hAnsi="Bookman Old Style"/>
        </w:rPr>
        <w:t>collegato</w:t>
      </w:r>
      <w:r w:rsidR="005B1D45">
        <w:rPr>
          <w:rFonts w:ascii="Bookman Old Style" w:hAnsi="Bookman Old Style"/>
        </w:rPr>
        <w:t xml:space="preserve"> </w:t>
      </w:r>
      <w:r w:rsidRPr="00DB0800">
        <w:rPr>
          <w:rFonts w:ascii="Bookman Old Style" w:hAnsi="Bookman Old Style"/>
        </w:rPr>
        <w:t>all’attività di accertamento</w:t>
      </w:r>
      <w:r w:rsidR="005B1D45">
        <w:rPr>
          <w:rFonts w:ascii="Bookman Old Style" w:hAnsi="Bookman Old Style"/>
        </w:rPr>
        <w:t xml:space="preserve">, in quanto </w:t>
      </w:r>
      <w:r w:rsidRPr="00DB0800">
        <w:rPr>
          <w:rFonts w:ascii="Bookman Old Style" w:hAnsi="Bookman Old Style"/>
        </w:rPr>
        <w:t>al termine di presentazione della dichiarazione è direttamente collegato il termine decadenziale di accertamento</w:t>
      </w:r>
      <w:r w:rsidR="007A14FC">
        <w:rPr>
          <w:rFonts w:ascii="Bookman Old Style" w:hAnsi="Bookman Old Style"/>
        </w:rPr>
        <w:t xml:space="preserve">. Anche questo concatenamento di effetti evidenzia un </w:t>
      </w:r>
      <w:r w:rsidRPr="00DB0800">
        <w:rPr>
          <w:rFonts w:ascii="Bookman Old Style" w:hAnsi="Bookman Old Style"/>
        </w:rPr>
        <w:t xml:space="preserve">palese contrasto con i principi generali dell’autonomia impositiva riconosciuta ai Comuni. </w:t>
      </w:r>
    </w:p>
    <w:p w14:paraId="707D974B" w14:textId="3C084CCA" w:rsidR="002B725B" w:rsidRPr="00041623" w:rsidRDefault="0032373F" w:rsidP="00480183">
      <w:pPr>
        <w:spacing w:after="80" w:line="252" w:lineRule="auto"/>
        <w:ind w:firstLine="0"/>
        <w:jc w:val="both"/>
        <w:rPr>
          <w:rFonts w:ascii="Bookman Old Style" w:hAnsi="Bookman Old Style"/>
          <w:strike/>
        </w:rPr>
      </w:pPr>
      <w:r w:rsidRPr="00FD0809">
        <w:rPr>
          <w:rFonts w:ascii="Bookman Old Style" w:hAnsi="Bookman Old Style"/>
        </w:rPr>
        <w:t xml:space="preserve">La soluzione individuata </w:t>
      </w:r>
      <w:r w:rsidR="008369CE" w:rsidRPr="00FD0809">
        <w:rPr>
          <w:rFonts w:ascii="Bookman Old Style" w:hAnsi="Bookman Old Style"/>
        </w:rPr>
        <w:t xml:space="preserve">nello schema di regolamento allegato, </w:t>
      </w:r>
      <w:r w:rsidR="00BA4E3E" w:rsidRPr="00BA4E3E">
        <w:rPr>
          <w:rFonts w:ascii="Bookman Old Style" w:hAnsi="Bookman Old Style"/>
        </w:rPr>
        <w:t xml:space="preserve">per conciliare al meglio le intenzioni pur pregevoli dell’Autorità in materia di tutela dell’utenza </w:t>
      </w:r>
      <w:r w:rsidR="00DA0D09">
        <w:rPr>
          <w:rFonts w:ascii="Bookman Old Style" w:hAnsi="Bookman Old Style"/>
        </w:rPr>
        <w:t xml:space="preserve">con il </w:t>
      </w:r>
      <w:r w:rsidR="00DA0D09" w:rsidRPr="007E260E">
        <w:rPr>
          <w:rFonts w:ascii="Bookman Old Style" w:hAnsi="Bookman Old Style"/>
          <w:i/>
          <w:iCs/>
        </w:rPr>
        <w:t xml:space="preserve">corpus </w:t>
      </w:r>
      <w:r w:rsidR="00DA0D09">
        <w:rPr>
          <w:rFonts w:ascii="Bookman Old Style" w:hAnsi="Bookman Old Style"/>
        </w:rPr>
        <w:t xml:space="preserve">normativo </w:t>
      </w:r>
      <w:r w:rsidR="00A16D2F">
        <w:rPr>
          <w:rFonts w:ascii="Bookman Old Style" w:hAnsi="Bookman Old Style"/>
        </w:rPr>
        <w:t xml:space="preserve">speciale </w:t>
      </w:r>
      <w:r w:rsidR="00464674" w:rsidRPr="00FD0809">
        <w:rPr>
          <w:rFonts w:ascii="Bookman Old Style" w:hAnsi="Bookman Old Style"/>
        </w:rPr>
        <w:t>tributario</w:t>
      </w:r>
      <w:r w:rsidR="00E3708A" w:rsidRPr="00DB4FEF">
        <w:rPr>
          <w:rStyle w:val="Rimandonotaapidipagina"/>
          <w:rFonts w:ascii="Bookman Old Style" w:hAnsi="Bookman Old Style"/>
          <w:sz w:val="16"/>
          <w:szCs w:val="16"/>
        </w:rPr>
        <w:footnoteReference w:id="11"/>
      </w:r>
      <w:r w:rsidR="00464674" w:rsidRPr="00FD0809">
        <w:rPr>
          <w:rFonts w:ascii="Bookman Old Style" w:hAnsi="Bookman Old Style"/>
        </w:rPr>
        <w:t xml:space="preserve"> e</w:t>
      </w:r>
      <w:r w:rsidR="00062168">
        <w:rPr>
          <w:rFonts w:ascii="Bookman Old Style" w:hAnsi="Bookman Old Style"/>
        </w:rPr>
        <w:t>,</w:t>
      </w:r>
      <w:r w:rsidR="00464674" w:rsidRPr="00FD0809">
        <w:rPr>
          <w:rFonts w:ascii="Bookman Old Style" w:hAnsi="Bookman Old Style"/>
        </w:rPr>
        <w:t xml:space="preserve"> al contempo</w:t>
      </w:r>
      <w:r w:rsidR="00062168">
        <w:rPr>
          <w:rFonts w:ascii="Bookman Old Style" w:hAnsi="Bookman Old Style"/>
        </w:rPr>
        <w:t>,</w:t>
      </w:r>
      <w:r w:rsidR="00464674" w:rsidRPr="00FD0809">
        <w:rPr>
          <w:rFonts w:ascii="Bookman Old Style" w:hAnsi="Bookman Old Style"/>
        </w:rPr>
        <w:t xml:space="preserve"> evitare una duplicazione di adempimenti in carico al contribuente (dichiarazione TARI prevista dalla normativa tributaria e richiesta di attivazione del servizio, non prevista da alcuna disposizione normativa), </w:t>
      </w:r>
      <w:r w:rsidR="00A16D2F">
        <w:rPr>
          <w:rFonts w:ascii="Bookman Old Style" w:hAnsi="Bookman Old Style"/>
        </w:rPr>
        <w:t>consiste nel</w:t>
      </w:r>
      <w:r w:rsidR="00464674" w:rsidRPr="00FD0809">
        <w:rPr>
          <w:rFonts w:ascii="Bookman Old Style" w:hAnsi="Bookman Old Style"/>
        </w:rPr>
        <w:t xml:space="preserve"> </w:t>
      </w:r>
      <w:r w:rsidR="00464674" w:rsidRPr="00F34DA7">
        <w:rPr>
          <w:rFonts w:ascii="Bookman Old Style" w:hAnsi="Bookman Old Style"/>
          <w:b/>
          <w:bCs/>
        </w:rPr>
        <w:t>far coincidere la richiesta di attivazione del servizio con la dichiarazione TARI, fermo restando il rispetto delle regole speciali afferenti gli obblighi dichiarativi.</w:t>
      </w:r>
      <w:r w:rsidR="00FD0809" w:rsidRPr="00FD0809">
        <w:t xml:space="preserve"> </w:t>
      </w:r>
      <w:r w:rsidR="007E260E" w:rsidRPr="00485DC2">
        <w:rPr>
          <w:rFonts w:ascii="Bookman Old Style" w:hAnsi="Bookman Old Style"/>
        </w:rPr>
        <w:t>La</w:t>
      </w:r>
      <w:r w:rsidR="00FD0809" w:rsidRPr="00485DC2">
        <w:rPr>
          <w:rFonts w:ascii="Bookman Old Style" w:hAnsi="Bookman Old Style"/>
        </w:rPr>
        <w:t xml:space="preserve"> via “prudenziale”</w:t>
      </w:r>
      <w:r w:rsidR="003C2AFA" w:rsidRPr="00485DC2">
        <w:rPr>
          <w:rFonts w:ascii="Bookman Old Style" w:hAnsi="Bookman Old Style"/>
        </w:rPr>
        <w:t xml:space="preserve"> che si è scelto di percorrere nell’operatività </w:t>
      </w:r>
      <w:r w:rsidR="005E6F6A" w:rsidRPr="00485DC2">
        <w:rPr>
          <w:rFonts w:ascii="Bookman Old Style" w:hAnsi="Bookman Old Style"/>
        </w:rPr>
        <w:t>dell’organizzazione comunale</w:t>
      </w:r>
      <w:r w:rsidR="00285D2B" w:rsidRPr="00485DC2">
        <w:rPr>
          <w:rFonts w:ascii="Bookman Old Style" w:hAnsi="Bookman Old Style"/>
        </w:rPr>
        <w:t xml:space="preserve"> lascia pertanto </w:t>
      </w:r>
      <w:r w:rsidR="00FD0809" w:rsidRPr="00485DC2">
        <w:rPr>
          <w:rFonts w:ascii="Bookman Old Style" w:hAnsi="Bookman Old Style"/>
        </w:rPr>
        <w:t>il termine della dichiarazione ai 90 giorni solari dalla data di inizio del possesso o della detenzione dell’immobile</w:t>
      </w:r>
      <w:r w:rsidR="001F2BB0" w:rsidRPr="00485DC2">
        <w:rPr>
          <w:rFonts w:ascii="Bookman Old Style" w:hAnsi="Bookman Old Style"/>
        </w:rPr>
        <w:t xml:space="preserve"> (peraltro </w:t>
      </w:r>
      <w:r w:rsidR="00E14814" w:rsidRPr="00485DC2">
        <w:rPr>
          <w:rFonts w:ascii="Bookman Old Style" w:hAnsi="Bookman Old Style"/>
        </w:rPr>
        <w:t>già adottato da moltissimi Comuni a prescindere dalla regolazione ARERA)</w:t>
      </w:r>
      <w:r w:rsidR="007A5E1D">
        <w:rPr>
          <w:rFonts w:ascii="Bookman Old Style" w:hAnsi="Bookman Old Style"/>
        </w:rPr>
        <w:t>,</w:t>
      </w:r>
      <w:r w:rsidR="00FD0809" w:rsidRPr="00485DC2">
        <w:rPr>
          <w:rFonts w:ascii="Bookman Old Style" w:hAnsi="Bookman Old Style"/>
        </w:rPr>
        <w:t xml:space="preserve"> </w:t>
      </w:r>
      <w:r w:rsidR="00C05945" w:rsidRPr="00485DC2">
        <w:rPr>
          <w:rFonts w:ascii="Bookman Old Style" w:hAnsi="Bookman Old Style"/>
        </w:rPr>
        <w:t>sia</w:t>
      </w:r>
      <w:r w:rsidR="00FD0809" w:rsidRPr="00485DC2">
        <w:rPr>
          <w:rFonts w:ascii="Bookman Old Style" w:hAnsi="Bookman Old Style"/>
        </w:rPr>
        <w:t xml:space="preserve"> ai fini della corretta emissione degli avvisi di pagamento bonari, </w:t>
      </w:r>
      <w:r w:rsidR="00C05945" w:rsidRPr="00485DC2">
        <w:rPr>
          <w:rFonts w:ascii="Bookman Old Style" w:hAnsi="Bookman Old Style"/>
        </w:rPr>
        <w:t>che dei termini a decorrere dai quali parte l’attività accertativa</w:t>
      </w:r>
      <w:r w:rsidR="00C019B4" w:rsidRPr="00485DC2">
        <w:rPr>
          <w:rFonts w:ascii="Bookman Old Style" w:hAnsi="Bookman Old Style"/>
        </w:rPr>
        <w:t xml:space="preserve">, lasciando il termine di legge </w:t>
      </w:r>
      <w:r w:rsidR="00FD0809" w:rsidRPr="00485DC2">
        <w:rPr>
          <w:rFonts w:ascii="Bookman Old Style" w:hAnsi="Bookman Old Style"/>
        </w:rPr>
        <w:t>del 30 giugno dell’anno successivo</w:t>
      </w:r>
      <w:r w:rsidR="00C019B4" w:rsidRPr="00485DC2">
        <w:rPr>
          <w:rFonts w:ascii="Bookman Old Style" w:hAnsi="Bookman Old Style"/>
        </w:rPr>
        <w:t xml:space="preserve"> solo ai casi di mancata regolamentazione</w:t>
      </w:r>
      <w:r w:rsidR="00485DC2" w:rsidRPr="00485DC2">
        <w:rPr>
          <w:rFonts w:ascii="Bookman Old Style" w:hAnsi="Bookman Old Style"/>
        </w:rPr>
        <w:t xml:space="preserve"> da parte del Comune</w:t>
      </w:r>
      <w:r w:rsidR="00FD0809" w:rsidRPr="00485DC2">
        <w:rPr>
          <w:rFonts w:ascii="Bookman Old Style" w:hAnsi="Bookman Old Style"/>
        </w:rPr>
        <w:t>.</w:t>
      </w:r>
    </w:p>
    <w:p w14:paraId="62303C7F" w14:textId="77777777" w:rsidR="00C54EE1" w:rsidRDefault="00C54EE1" w:rsidP="00480183">
      <w:pPr>
        <w:spacing w:after="80" w:line="252" w:lineRule="auto"/>
        <w:ind w:firstLine="0"/>
        <w:jc w:val="both"/>
        <w:rPr>
          <w:rFonts w:ascii="Bookman Old Style" w:hAnsi="Bookman Old Style"/>
        </w:rPr>
      </w:pPr>
    </w:p>
    <w:p w14:paraId="72760FAE" w14:textId="771C1654" w:rsidR="00101533" w:rsidRPr="00896317" w:rsidRDefault="001A4C0E" w:rsidP="00FE510C">
      <w:pPr>
        <w:pStyle w:val="Titolo2"/>
        <w:keepNext/>
        <w:rPr>
          <w:rFonts w:ascii="Bookman Old Style" w:hAnsi="Bookman Old Style"/>
          <w:i/>
          <w:iCs/>
        </w:rPr>
      </w:pPr>
      <w:bookmarkStart w:id="2" w:name="_Toc121591183"/>
      <w:r w:rsidRPr="00896317">
        <w:rPr>
          <w:rFonts w:ascii="Bookman Old Style" w:hAnsi="Bookman Old Style"/>
          <w:i/>
          <w:iCs/>
        </w:rPr>
        <w:lastRenderedPageBreak/>
        <w:t>Reclami e richieste di rettifica degli importi addebitati</w:t>
      </w:r>
      <w:bookmarkEnd w:id="2"/>
    </w:p>
    <w:p w14:paraId="19933741" w14:textId="4F7AE005" w:rsidR="00F84DC2" w:rsidRDefault="008D0C2C" w:rsidP="00FE510C">
      <w:pPr>
        <w:spacing w:after="80" w:line="252" w:lineRule="auto"/>
        <w:ind w:firstLine="0"/>
        <w:jc w:val="both"/>
        <w:rPr>
          <w:rFonts w:ascii="Bookman Old Style" w:hAnsi="Bookman Old Style"/>
        </w:rPr>
      </w:pPr>
      <w:r w:rsidRPr="005D4A36">
        <w:rPr>
          <w:rFonts w:ascii="Bookman Old Style" w:hAnsi="Bookman Old Style"/>
        </w:rPr>
        <w:t xml:space="preserve">Anche nel </w:t>
      </w:r>
      <w:r w:rsidR="007D0D48" w:rsidRPr="005D4A36">
        <w:rPr>
          <w:rFonts w:ascii="Bookman Old Style" w:hAnsi="Bookman Old Style"/>
        </w:rPr>
        <w:t xml:space="preserve">caso </w:t>
      </w:r>
      <w:r w:rsidR="003F64CE" w:rsidRPr="005D4A36">
        <w:rPr>
          <w:rFonts w:ascii="Bookman Old Style" w:hAnsi="Bookman Old Style"/>
        </w:rPr>
        <w:t xml:space="preserve">delle richieste di rettifica degli importi addebitati dai Comuni, </w:t>
      </w:r>
      <w:r w:rsidR="001D4888" w:rsidRPr="005D4A36">
        <w:rPr>
          <w:rFonts w:ascii="Bookman Old Style" w:hAnsi="Bookman Old Style"/>
        </w:rPr>
        <w:t>l’espressione “rettifica”</w:t>
      </w:r>
      <w:r w:rsidR="00EE2E07" w:rsidRPr="005D4A36">
        <w:rPr>
          <w:rFonts w:ascii="Bookman Old Style" w:hAnsi="Bookman Old Style"/>
        </w:rPr>
        <w:t>, come già si è avut</w:t>
      </w:r>
      <w:r w:rsidR="003F64CE" w:rsidRPr="005D4A36">
        <w:rPr>
          <w:rFonts w:ascii="Bookman Old Style" w:hAnsi="Bookman Old Style"/>
        </w:rPr>
        <w:t>o</w:t>
      </w:r>
      <w:r w:rsidR="00EE2E07" w:rsidRPr="005D4A36">
        <w:rPr>
          <w:rFonts w:ascii="Bookman Old Style" w:hAnsi="Bookman Old Style"/>
        </w:rPr>
        <w:t xml:space="preserve"> occasione di precisare nella</w:t>
      </w:r>
      <w:r w:rsidR="00BB2AF9">
        <w:rPr>
          <w:rFonts w:ascii="Bookman Old Style" w:hAnsi="Bookman Old Style"/>
        </w:rPr>
        <w:t xml:space="preserve"> citata</w:t>
      </w:r>
      <w:r w:rsidR="00EE2E07" w:rsidRPr="005D4A36">
        <w:rPr>
          <w:rFonts w:ascii="Bookman Old Style" w:hAnsi="Bookman Old Style"/>
        </w:rPr>
        <w:t xml:space="preserve"> </w:t>
      </w:r>
      <w:r w:rsidR="00F4447D" w:rsidRPr="00BB2AF9">
        <w:rPr>
          <w:rFonts w:ascii="Bookman Old Style" w:hAnsi="Bookman Old Style"/>
        </w:rPr>
        <w:t>nota Ifel del 6 aprile 2022</w:t>
      </w:r>
      <w:hyperlink r:id="rId12" w:history="1">
        <w:r w:rsidR="003F64CE" w:rsidRPr="005D4A36">
          <w:rPr>
            <w:rStyle w:val="Collegamentoipertestuale"/>
            <w:rFonts w:ascii="Bookman Old Style" w:hAnsi="Bookman Old Style"/>
          </w:rPr>
          <w:t>,</w:t>
        </w:r>
      </w:hyperlink>
      <w:r w:rsidR="003F64CE" w:rsidRPr="005D4A36">
        <w:rPr>
          <w:rFonts w:ascii="Bookman Old Style" w:hAnsi="Bookman Old Style"/>
        </w:rPr>
        <w:t xml:space="preserve"> </w:t>
      </w:r>
      <w:r w:rsidR="001D4888" w:rsidRPr="005D4A36">
        <w:rPr>
          <w:rFonts w:ascii="Bookman Old Style" w:hAnsi="Bookman Old Style"/>
        </w:rPr>
        <w:t xml:space="preserve"> non è conforme alla nomenclatura in uso sulla base della normativa vigente e </w:t>
      </w:r>
      <w:r w:rsidR="00A14C41">
        <w:rPr>
          <w:rFonts w:ascii="Bookman Old Style" w:hAnsi="Bookman Old Style"/>
        </w:rPr>
        <w:t xml:space="preserve">deve </w:t>
      </w:r>
      <w:r w:rsidR="00B854A9">
        <w:rPr>
          <w:rFonts w:ascii="Bookman Old Style" w:hAnsi="Bookman Old Style"/>
        </w:rPr>
        <w:t xml:space="preserve">più coerentemente </w:t>
      </w:r>
      <w:r w:rsidR="001D4888" w:rsidRPr="005D4A36">
        <w:rPr>
          <w:rFonts w:ascii="Bookman Old Style" w:hAnsi="Bookman Old Style"/>
        </w:rPr>
        <w:t xml:space="preserve">essere intesa come “liquidazione del rimborso per importo non dovuto”. </w:t>
      </w:r>
    </w:p>
    <w:p w14:paraId="1775DA44" w14:textId="34FEFCE8" w:rsidR="00F84DC2" w:rsidRDefault="001D4888" w:rsidP="00FE510C">
      <w:pPr>
        <w:spacing w:after="80" w:line="252" w:lineRule="auto"/>
        <w:ind w:firstLine="0"/>
        <w:jc w:val="both"/>
        <w:rPr>
          <w:rFonts w:ascii="Bookman Old Style" w:hAnsi="Bookman Old Style"/>
        </w:rPr>
      </w:pPr>
      <w:r w:rsidRPr="005D4A36">
        <w:rPr>
          <w:rFonts w:ascii="Bookman Old Style" w:hAnsi="Bookman Old Style"/>
        </w:rPr>
        <w:t>Sotto il profilo sostanziale</w:t>
      </w:r>
      <w:r w:rsidR="009E142F" w:rsidRPr="007075BF">
        <w:rPr>
          <w:rStyle w:val="Rimandonotaapidipagina"/>
          <w:rFonts w:ascii="Bookman Old Style" w:hAnsi="Bookman Old Style"/>
          <w:sz w:val="14"/>
          <w:szCs w:val="14"/>
        </w:rPr>
        <w:footnoteReference w:id="12"/>
      </w:r>
      <w:r w:rsidRPr="005D4A36">
        <w:rPr>
          <w:rFonts w:ascii="Bookman Old Style" w:hAnsi="Bookman Old Style"/>
        </w:rPr>
        <w:t>, si dev</w:t>
      </w:r>
      <w:r w:rsidR="007D403A">
        <w:rPr>
          <w:rFonts w:ascii="Bookman Old Style" w:hAnsi="Bookman Old Style"/>
        </w:rPr>
        <w:t xml:space="preserve">ono </w:t>
      </w:r>
      <w:r w:rsidRPr="005D4A36">
        <w:rPr>
          <w:rFonts w:ascii="Bookman Old Style" w:hAnsi="Bookman Old Style"/>
        </w:rPr>
        <w:t>rilevare</w:t>
      </w:r>
      <w:r w:rsidR="007D403A">
        <w:rPr>
          <w:rFonts w:ascii="Bookman Old Style" w:hAnsi="Bookman Old Style"/>
        </w:rPr>
        <w:t xml:space="preserve"> due punti</w:t>
      </w:r>
      <w:r w:rsidRPr="005D4A36">
        <w:rPr>
          <w:rFonts w:ascii="Bookman Old Style" w:hAnsi="Bookman Old Style"/>
        </w:rPr>
        <w:t xml:space="preserve">: </w:t>
      </w:r>
    </w:p>
    <w:p w14:paraId="6F48CB41" w14:textId="53A3824B" w:rsidR="00F84DC2" w:rsidRPr="00FF15F4" w:rsidRDefault="001D4888" w:rsidP="00FF15F4">
      <w:pPr>
        <w:pStyle w:val="Paragrafoelenco"/>
        <w:numPr>
          <w:ilvl w:val="0"/>
          <w:numId w:val="41"/>
        </w:numPr>
        <w:spacing w:after="80" w:line="252" w:lineRule="auto"/>
        <w:ind w:left="426"/>
        <w:jc w:val="both"/>
        <w:rPr>
          <w:rFonts w:ascii="Bookman Old Style" w:hAnsi="Bookman Old Style"/>
        </w:rPr>
      </w:pPr>
      <w:r w:rsidRPr="00FF15F4">
        <w:rPr>
          <w:rFonts w:ascii="Bookman Old Style" w:hAnsi="Bookman Old Style"/>
        </w:rPr>
        <w:t>la tempistica per l’emissione del rimborso (la delibera o determina che stabilisce e quantifica il diritto) è stabilita, ai sensi dell’art. 1, comma 164</w:t>
      </w:r>
      <w:r w:rsidR="007B796B">
        <w:rPr>
          <w:rFonts w:ascii="Bookman Old Style" w:hAnsi="Bookman Old Style"/>
        </w:rPr>
        <w:t>,</w:t>
      </w:r>
      <w:r w:rsidRPr="00FF15F4">
        <w:rPr>
          <w:rFonts w:ascii="Bookman Old Style" w:hAnsi="Bookman Old Style"/>
        </w:rPr>
        <w:t xml:space="preserve"> della L. 296/2006 in 180 giorni, che non differiscono di molto dai 120 giorni previsti dall’Autorità, dal momento che questi ultimi sono “lavorativi”. Sotto questo profilo appare inutile sovrapporre all’attuale prescrizione di legge una nuova prescrizione con il risultato di ingenerare soltanto qualche ulteriore elemento di confusione; </w:t>
      </w:r>
    </w:p>
    <w:p w14:paraId="1EA937A5" w14:textId="40261A2D" w:rsidR="00FF15F4" w:rsidRDefault="007B796B" w:rsidP="00F7519C">
      <w:pPr>
        <w:pStyle w:val="Paragrafoelenco"/>
        <w:numPr>
          <w:ilvl w:val="0"/>
          <w:numId w:val="41"/>
        </w:numPr>
        <w:spacing w:after="80" w:line="252" w:lineRule="auto"/>
        <w:ind w:left="426"/>
        <w:jc w:val="both"/>
        <w:rPr>
          <w:rFonts w:ascii="Bookman Old Style" w:hAnsi="Bookman Old Style"/>
        </w:rPr>
      </w:pPr>
      <w:r>
        <w:rPr>
          <w:rFonts w:ascii="Bookman Old Style" w:hAnsi="Bookman Old Style"/>
        </w:rPr>
        <w:t xml:space="preserve">maggiori difficoltà </w:t>
      </w:r>
      <w:r w:rsidR="003E4EE7">
        <w:rPr>
          <w:rFonts w:ascii="Bookman Old Style" w:hAnsi="Bookman Old Style"/>
        </w:rPr>
        <w:t xml:space="preserve">sorgerebbero nel caso in cui </w:t>
      </w:r>
      <w:r w:rsidR="003E4EE7" w:rsidRPr="00FF15F4">
        <w:rPr>
          <w:rFonts w:ascii="Bookman Old Style" w:hAnsi="Bookman Old Style"/>
        </w:rPr>
        <w:t>la “rettifica” evocata dalla delibera n.15</w:t>
      </w:r>
      <w:r w:rsidR="00F7519C">
        <w:rPr>
          <w:rFonts w:ascii="Bookman Old Style" w:hAnsi="Bookman Old Style"/>
        </w:rPr>
        <w:t xml:space="preserve"> volesse </w:t>
      </w:r>
      <w:r w:rsidR="001D4888" w:rsidRPr="00FF15F4">
        <w:rPr>
          <w:rFonts w:ascii="Bookman Old Style" w:hAnsi="Bookman Old Style"/>
        </w:rPr>
        <w:t xml:space="preserve">coincidere con l’effettiva erogazione del rimborso. Nella gestione della TARI, la “liquidazione” e la materiale erogazione del rimborso sono infatti due momenti ben distinti. L’istanza di rimborso deve essere presentata dal contribuente, sia per espressa disposizione normativa (art. 1, comma 164, L. 296/2006), sia in quanto la TARI-tributo non è – in linea generale – domiciliata e, pertanto, il contribuente deve comunicare la modalità scelta per </w:t>
      </w:r>
      <w:r w:rsidR="005F2591">
        <w:rPr>
          <w:rFonts w:ascii="Bookman Old Style" w:hAnsi="Bookman Old Style"/>
        </w:rPr>
        <w:t xml:space="preserve">l’incasso </w:t>
      </w:r>
      <w:r w:rsidR="001D4888" w:rsidRPr="00FF15F4">
        <w:rPr>
          <w:rFonts w:ascii="Bookman Old Style" w:hAnsi="Bookman Old Style"/>
        </w:rPr>
        <w:t>del rimborso</w:t>
      </w:r>
      <w:r w:rsidR="00D229D6">
        <w:rPr>
          <w:rFonts w:ascii="Bookman Old Style" w:hAnsi="Bookman Old Style"/>
        </w:rPr>
        <w:t xml:space="preserve">, la cui erogazione avviene con successivo provvedimento </w:t>
      </w:r>
      <w:r w:rsidR="006F3E95">
        <w:rPr>
          <w:rFonts w:ascii="Bookman Old Style" w:hAnsi="Bookman Old Style"/>
        </w:rPr>
        <w:t>amministrativo</w:t>
      </w:r>
      <w:r w:rsidR="001D4888" w:rsidRPr="00FF15F4">
        <w:rPr>
          <w:rFonts w:ascii="Bookman Old Style" w:hAnsi="Bookman Old Style"/>
        </w:rPr>
        <w:t xml:space="preserve">. Sul punto si rileva anche una carente disciplina, in quanto il provvedimento di </w:t>
      </w:r>
      <w:r w:rsidR="006F3E95">
        <w:rPr>
          <w:rFonts w:ascii="Bookman Old Style" w:hAnsi="Bookman Old Style"/>
        </w:rPr>
        <w:t xml:space="preserve">liquidazione </w:t>
      </w:r>
      <w:r w:rsidR="001D4888" w:rsidRPr="00FF15F4">
        <w:rPr>
          <w:rFonts w:ascii="Bookman Old Style" w:hAnsi="Bookman Old Style"/>
        </w:rPr>
        <w:t xml:space="preserve">rimborso è atto autonomamente impugnabile, che non va semplicemente comunicato, ma notificato, al fine del computo dei termini perentori previsti per l’impugnazione. </w:t>
      </w:r>
    </w:p>
    <w:p w14:paraId="0BB7C0B8" w14:textId="262E6556" w:rsidR="003B1CD7" w:rsidRDefault="001D4888" w:rsidP="006F3E95">
      <w:pPr>
        <w:spacing w:after="80" w:line="252" w:lineRule="auto"/>
        <w:ind w:left="66" w:firstLine="0"/>
        <w:jc w:val="both"/>
        <w:rPr>
          <w:rFonts w:ascii="Bookman Old Style" w:hAnsi="Bookman Old Style"/>
        </w:rPr>
      </w:pPr>
      <w:r w:rsidRPr="00FF15F4">
        <w:rPr>
          <w:rFonts w:ascii="Bookman Old Style" w:hAnsi="Bookman Old Style"/>
        </w:rPr>
        <w:t xml:space="preserve">Quanto indicato da ARERA </w:t>
      </w:r>
      <w:r w:rsidR="00F15CAC">
        <w:rPr>
          <w:rFonts w:ascii="Bookman Old Style" w:hAnsi="Bookman Old Style"/>
        </w:rPr>
        <w:t xml:space="preserve">in materia di “rettifica” </w:t>
      </w:r>
      <w:r w:rsidRPr="00FF15F4">
        <w:rPr>
          <w:rFonts w:ascii="Bookman Old Style" w:hAnsi="Bookman Old Style"/>
        </w:rPr>
        <w:t>confligge, quindi, con la disciplina speciale tributaria e con la disciplina sul contenzioso tributario</w:t>
      </w:r>
      <w:r w:rsidR="00F15CAC">
        <w:rPr>
          <w:rFonts w:ascii="Bookman Old Style" w:hAnsi="Bookman Old Style"/>
        </w:rPr>
        <w:t>. P</w:t>
      </w:r>
      <w:r w:rsidR="003647D2" w:rsidRPr="00FF15F4">
        <w:rPr>
          <w:rFonts w:ascii="Bookman Old Style" w:hAnsi="Bookman Old Style"/>
        </w:rPr>
        <w:t>ertanto</w:t>
      </w:r>
      <w:r w:rsidR="003B1CD7" w:rsidRPr="00FF15F4">
        <w:rPr>
          <w:rFonts w:ascii="Bookman Old Style" w:hAnsi="Bookman Old Style"/>
        </w:rPr>
        <w:t>,</w:t>
      </w:r>
      <w:r w:rsidR="003647D2" w:rsidRPr="00FF15F4">
        <w:rPr>
          <w:rFonts w:ascii="Bookman Old Style" w:hAnsi="Bookman Old Style"/>
        </w:rPr>
        <w:t xml:space="preserve"> nello schema allegato si </w:t>
      </w:r>
      <w:r w:rsidR="00A813F0">
        <w:rPr>
          <w:rFonts w:ascii="Bookman Old Style" w:hAnsi="Bookman Old Style"/>
        </w:rPr>
        <w:t xml:space="preserve">suggerisce </w:t>
      </w:r>
      <w:r w:rsidR="003647D2" w:rsidRPr="00FF15F4">
        <w:rPr>
          <w:rFonts w:ascii="Bookman Old Style" w:hAnsi="Bookman Old Style"/>
        </w:rPr>
        <w:t>di mantenere una posizione conforme alle norme di legge oggi in vigore.</w:t>
      </w:r>
    </w:p>
    <w:p w14:paraId="78928BC0" w14:textId="2E5CAC57" w:rsidR="00AC4E46" w:rsidRPr="00896317" w:rsidRDefault="004F0322" w:rsidP="004F0322">
      <w:pPr>
        <w:pStyle w:val="Titolo2"/>
        <w:rPr>
          <w:rFonts w:ascii="Bookman Old Style" w:hAnsi="Bookman Old Style"/>
          <w:i/>
          <w:iCs/>
        </w:rPr>
      </w:pPr>
      <w:bookmarkStart w:id="3" w:name="_Toc121591184"/>
      <w:r w:rsidRPr="00896317">
        <w:rPr>
          <w:rFonts w:ascii="Bookman Old Style" w:hAnsi="Bookman Old Style"/>
          <w:i/>
          <w:iCs/>
        </w:rPr>
        <w:t>Modalità di versamento e sollecito di pagamento</w:t>
      </w:r>
      <w:bookmarkEnd w:id="3"/>
    </w:p>
    <w:p w14:paraId="344C5003" w14:textId="0B1133FE" w:rsidR="004F0322" w:rsidRDefault="00E022A9" w:rsidP="00C30A69">
      <w:pPr>
        <w:spacing w:after="80" w:line="252" w:lineRule="auto"/>
        <w:ind w:firstLine="0"/>
        <w:jc w:val="both"/>
        <w:rPr>
          <w:rFonts w:ascii="Bookman Old Style" w:hAnsi="Bookman Old Style"/>
        </w:rPr>
      </w:pPr>
      <w:r w:rsidRPr="00E022A9">
        <w:rPr>
          <w:rFonts w:ascii="Bookman Old Style" w:hAnsi="Bookman Old Style"/>
        </w:rPr>
        <w:t>Anche per quanto riguarda le modalità di versamento della TARI e il sollecito di pagamento</w:t>
      </w:r>
      <w:r w:rsidR="00A325BD" w:rsidRPr="002F74B4">
        <w:rPr>
          <w:rStyle w:val="Rimandonotaapidipagina"/>
          <w:rFonts w:ascii="Bookman Old Style" w:hAnsi="Bookman Old Style"/>
          <w:sz w:val="14"/>
          <w:szCs w:val="14"/>
        </w:rPr>
        <w:footnoteReference w:id="13"/>
      </w:r>
      <w:r w:rsidR="003D7562">
        <w:rPr>
          <w:rFonts w:ascii="Bookman Old Style" w:hAnsi="Bookman Old Style"/>
        </w:rPr>
        <w:t xml:space="preserve">, la metodologia utilizzata nello schema di regolamento allegato è ispirata ai principi delineati in </w:t>
      </w:r>
      <w:r w:rsidR="00C95D3E">
        <w:rPr>
          <w:rFonts w:ascii="Bookman Old Style" w:hAnsi="Bookman Old Style"/>
        </w:rPr>
        <w:t>p</w:t>
      </w:r>
      <w:r w:rsidR="003D7562">
        <w:rPr>
          <w:rFonts w:ascii="Bookman Old Style" w:hAnsi="Bookman Old Style"/>
        </w:rPr>
        <w:t>remessa</w:t>
      </w:r>
      <w:r w:rsidR="00212B10">
        <w:rPr>
          <w:rFonts w:ascii="Bookman Old Style" w:hAnsi="Bookman Old Style"/>
        </w:rPr>
        <w:t xml:space="preserve">, ovvero assicurare il rispetto delle prescrizioni regolatorie laddove queste siano compatibili con la legge tributaria in vigore e con l’organizzazione comunale </w:t>
      </w:r>
      <w:r w:rsidR="00495EB9">
        <w:rPr>
          <w:rFonts w:ascii="Bookman Old Style" w:hAnsi="Bookman Old Style"/>
        </w:rPr>
        <w:t>facente capo alle disposizioni normative.</w:t>
      </w:r>
    </w:p>
    <w:p w14:paraId="26355A87" w14:textId="7355B47E" w:rsidR="007912CD" w:rsidRDefault="007912CD" w:rsidP="00C30A69">
      <w:pPr>
        <w:spacing w:after="80" w:line="252" w:lineRule="auto"/>
        <w:ind w:firstLine="0"/>
        <w:jc w:val="both"/>
        <w:rPr>
          <w:rFonts w:ascii="Bookman Old Style" w:hAnsi="Bookman Old Style"/>
        </w:rPr>
      </w:pPr>
      <w:r>
        <w:rPr>
          <w:rFonts w:ascii="Bookman Old Style" w:hAnsi="Bookman Old Style"/>
        </w:rPr>
        <w:t xml:space="preserve">In proposito, </w:t>
      </w:r>
      <w:r w:rsidR="003A49C9">
        <w:rPr>
          <w:rFonts w:ascii="Bookman Old Style" w:hAnsi="Bookman Old Style"/>
        </w:rPr>
        <w:t xml:space="preserve">lo schema proposto assicura </w:t>
      </w:r>
      <w:r w:rsidR="008552B6">
        <w:rPr>
          <w:rFonts w:ascii="Bookman Old Style" w:hAnsi="Bookman Old Style"/>
        </w:rPr>
        <w:t>almeno una modalità di pagamento del tributo gratuita, anche laddove i</w:t>
      </w:r>
      <w:r w:rsidR="0083277C">
        <w:rPr>
          <w:rFonts w:ascii="Bookman Old Style" w:hAnsi="Bookman Old Style"/>
        </w:rPr>
        <w:t>l</w:t>
      </w:r>
      <w:r w:rsidR="008552B6">
        <w:rPr>
          <w:rFonts w:ascii="Bookman Old Style" w:hAnsi="Bookman Old Style"/>
        </w:rPr>
        <w:t xml:space="preserve"> Comune </w:t>
      </w:r>
      <w:r w:rsidR="0083277C">
        <w:rPr>
          <w:rFonts w:ascii="Bookman Old Style" w:hAnsi="Bookman Old Style"/>
        </w:rPr>
        <w:t xml:space="preserve">abbia optato per adottare il pagamento tramite sistema </w:t>
      </w:r>
      <w:proofErr w:type="spellStart"/>
      <w:r w:rsidR="0083277C">
        <w:rPr>
          <w:rFonts w:ascii="Bookman Old Style" w:hAnsi="Bookman Old Style"/>
        </w:rPr>
        <w:t>PagoPA</w:t>
      </w:r>
      <w:proofErr w:type="spellEnd"/>
      <w:r w:rsidR="00EF298D">
        <w:rPr>
          <w:rFonts w:ascii="Bookman Old Style" w:hAnsi="Bookman Old Style"/>
        </w:rPr>
        <w:t xml:space="preserve">, </w:t>
      </w:r>
      <w:r w:rsidR="003A49C9">
        <w:rPr>
          <w:rFonts w:ascii="Bookman Old Style" w:hAnsi="Bookman Old Style"/>
        </w:rPr>
        <w:t xml:space="preserve">attraverso la previsione della disponibilità di </w:t>
      </w:r>
      <w:r w:rsidR="00EF298D">
        <w:rPr>
          <w:rFonts w:ascii="Bookman Old Style" w:hAnsi="Bookman Old Style"/>
        </w:rPr>
        <w:t>un altro metodo, ad esempio il modello F24</w:t>
      </w:r>
      <w:r w:rsidR="00BE5EEC">
        <w:rPr>
          <w:rFonts w:ascii="Bookman Old Style" w:hAnsi="Bookman Old Style"/>
        </w:rPr>
        <w:t xml:space="preserve">. </w:t>
      </w:r>
    </w:p>
    <w:p w14:paraId="31C935CE" w14:textId="1937A672" w:rsidR="00D9727C" w:rsidRDefault="00D0068E" w:rsidP="00C30A69">
      <w:pPr>
        <w:spacing w:after="80" w:line="252" w:lineRule="auto"/>
        <w:ind w:firstLine="0"/>
        <w:jc w:val="both"/>
        <w:rPr>
          <w:rFonts w:ascii="Bookman Old Style" w:hAnsi="Bookman Old Style"/>
        </w:rPr>
      </w:pPr>
      <w:r>
        <w:rPr>
          <w:rFonts w:ascii="Bookman Old Style" w:hAnsi="Bookman Old Style"/>
        </w:rPr>
        <w:t>È</w:t>
      </w:r>
      <w:r w:rsidR="00D9727C">
        <w:rPr>
          <w:rFonts w:ascii="Bookman Old Style" w:hAnsi="Bookman Old Style"/>
        </w:rPr>
        <w:t xml:space="preserve"> inoltre stata mantenuta la rateizzazione </w:t>
      </w:r>
      <w:r w:rsidR="00AD7A7F">
        <w:rPr>
          <w:rFonts w:ascii="Bookman Old Style" w:hAnsi="Bookman Old Style"/>
        </w:rPr>
        <w:t>del</w:t>
      </w:r>
      <w:r>
        <w:rPr>
          <w:rFonts w:ascii="Bookman Old Style" w:hAnsi="Bookman Old Style"/>
        </w:rPr>
        <w:t xml:space="preserve">le somme </w:t>
      </w:r>
      <w:r w:rsidR="00AD7A7F">
        <w:rPr>
          <w:rFonts w:ascii="Bookman Old Style" w:hAnsi="Bookman Old Style"/>
        </w:rPr>
        <w:t>dovut</w:t>
      </w:r>
      <w:r>
        <w:rPr>
          <w:rFonts w:ascii="Bookman Old Style" w:hAnsi="Bookman Old Style"/>
        </w:rPr>
        <w:t>e</w:t>
      </w:r>
      <w:r w:rsidR="00AD7A7F">
        <w:rPr>
          <w:rFonts w:ascii="Bookman Old Style" w:hAnsi="Bookman Old Style"/>
        </w:rPr>
        <w:t xml:space="preserve"> in almeno due tranche con cadenza semestrale</w:t>
      </w:r>
      <w:r w:rsidR="00A23A03">
        <w:rPr>
          <w:rFonts w:ascii="Bookman Old Style" w:hAnsi="Bookman Old Style"/>
        </w:rPr>
        <w:t xml:space="preserve"> per rispettare il dettato della legge </w:t>
      </w:r>
      <w:r w:rsidR="005D3BCE" w:rsidRPr="005D3BCE">
        <w:rPr>
          <w:rFonts w:ascii="Bookman Old Style" w:hAnsi="Bookman Old Style"/>
        </w:rPr>
        <w:t xml:space="preserve">(art. 1, comma 688, della legge n. 147 del 2013). In ogni caso, almeno una rata deve essere fissata in data successiva al 30 </w:t>
      </w:r>
      <w:r w:rsidR="005D3BCE" w:rsidRPr="005D3BCE">
        <w:rPr>
          <w:rFonts w:ascii="Bookman Old Style" w:hAnsi="Bookman Old Style"/>
        </w:rPr>
        <w:lastRenderedPageBreak/>
        <w:t>novembre di ciascun anno</w:t>
      </w:r>
      <w:r w:rsidR="00A00FC1">
        <w:rPr>
          <w:rFonts w:ascii="Bookman Old Style" w:hAnsi="Bookman Old Style"/>
        </w:rPr>
        <w:t xml:space="preserve"> – </w:t>
      </w:r>
      <w:r w:rsidR="005D3BCE" w:rsidRPr="005D3BCE">
        <w:rPr>
          <w:rFonts w:ascii="Bookman Old Style" w:hAnsi="Bookman Old Style"/>
        </w:rPr>
        <w:t>ed eventualmente anche nell’anno successivo</w:t>
      </w:r>
      <w:r w:rsidR="00A00FC1">
        <w:rPr>
          <w:rFonts w:ascii="Bookman Old Style" w:hAnsi="Bookman Old Style"/>
        </w:rPr>
        <w:t xml:space="preserve"> – </w:t>
      </w:r>
      <w:r w:rsidR="005D3BCE" w:rsidRPr="005D3BCE">
        <w:rPr>
          <w:rFonts w:ascii="Bookman Old Style" w:hAnsi="Bookman Old Style"/>
        </w:rPr>
        <w:t>in modo che il saldo sia determinato sulla base delle delibere tariffarie pubblicate sul sito del MEF alla data del 28 ottobre</w:t>
      </w:r>
      <w:r w:rsidR="008D1F6B">
        <w:rPr>
          <w:rFonts w:ascii="Bookman Old Style" w:hAnsi="Bookman Old Style"/>
        </w:rPr>
        <w:t xml:space="preserve">, in considerazione </w:t>
      </w:r>
      <w:r w:rsidR="00BD3AE6">
        <w:rPr>
          <w:rFonts w:ascii="Bookman Old Style" w:hAnsi="Bookman Old Style"/>
        </w:rPr>
        <w:t xml:space="preserve">della prescrizione in vigore dal 2020 di cui </w:t>
      </w:r>
      <w:r w:rsidR="003D6BE3" w:rsidRPr="005D3BCE">
        <w:rPr>
          <w:rFonts w:ascii="Bookman Old Style" w:hAnsi="Bookman Old Style"/>
        </w:rPr>
        <w:t>all’art. 13 del D.L. 201/2011 il comma 15-ter</w:t>
      </w:r>
      <w:r w:rsidR="003D6BE3">
        <w:rPr>
          <w:rFonts w:ascii="Bookman Old Style" w:hAnsi="Bookman Old Style"/>
        </w:rPr>
        <w:t xml:space="preserve"> (introdotto d</w:t>
      </w:r>
      <w:r w:rsidR="00BD3AE6">
        <w:rPr>
          <w:rFonts w:ascii="Bookman Old Style" w:hAnsi="Bookman Old Style"/>
        </w:rPr>
        <w:t>all’</w:t>
      </w:r>
      <w:r w:rsidR="005D3BCE" w:rsidRPr="005D3BCE">
        <w:rPr>
          <w:rFonts w:ascii="Bookman Old Style" w:hAnsi="Bookman Old Style"/>
        </w:rPr>
        <w:t>art. 5-bis del D.L. 34/2019</w:t>
      </w:r>
      <w:r w:rsidR="003D6BE3">
        <w:rPr>
          <w:rFonts w:ascii="Bookman Old Style" w:hAnsi="Bookman Old Style"/>
        </w:rPr>
        <w:t>)</w:t>
      </w:r>
      <w:r w:rsidR="00280ADC">
        <w:rPr>
          <w:rFonts w:ascii="Bookman Old Style" w:hAnsi="Bookman Old Style"/>
        </w:rPr>
        <w:t xml:space="preserve">, </w:t>
      </w:r>
      <w:r w:rsidR="005D3BCE" w:rsidRPr="005D3BCE">
        <w:rPr>
          <w:rFonts w:ascii="Bookman Old Style" w:hAnsi="Bookman Old Style"/>
        </w:rPr>
        <w:t>che stabilisce che dal 2020 per la TARI la rate fissate dal Comune con scadenza anteriore al 1°dicembre di ciascun anno devono essere effettuate sulla base delle tariffe approvate per l’anno precedente, mentre le scadenze fissate dopo tale data sono calcolate sulla base delle tariffe previste per lo stesso anno</w:t>
      </w:r>
      <w:r w:rsidR="00280ADC">
        <w:rPr>
          <w:rFonts w:ascii="Bookman Old Style" w:hAnsi="Bookman Old Style"/>
        </w:rPr>
        <w:t>,</w:t>
      </w:r>
      <w:r w:rsidR="005D3BCE" w:rsidRPr="005D3BCE">
        <w:rPr>
          <w:rFonts w:ascii="Bookman Old Style" w:hAnsi="Bookman Old Style"/>
        </w:rPr>
        <w:t xml:space="preserve"> con il meccanismo del saldo-conguaglio.</w:t>
      </w:r>
    </w:p>
    <w:p w14:paraId="142AB41B" w14:textId="77777777" w:rsidR="00CC6CEF" w:rsidRPr="00492502" w:rsidRDefault="00CC6CEF" w:rsidP="00CC6CEF">
      <w:pPr>
        <w:pStyle w:val="Titolo2"/>
        <w:rPr>
          <w:rFonts w:ascii="Bookman Old Style" w:hAnsi="Bookman Old Style"/>
          <w:i/>
          <w:iCs/>
        </w:rPr>
      </w:pPr>
      <w:bookmarkStart w:id="4" w:name="_Toc121591185"/>
      <w:r w:rsidRPr="00492502">
        <w:rPr>
          <w:rFonts w:ascii="Bookman Old Style" w:hAnsi="Bookman Old Style"/>
          <w:i/>
          <w:iCs/>
        </w:rPr>
        <w:t>Rateizzazione degli avvisi bonari TARI</w:t>
      </w:r>
      <w:bookmarkEnd w:id="4"/>
    </w:p>
    <w:p w14:paraId="2DDC0BA7" w14:textId="3E105B0D" w:rsidR="006652D6" w:rsidRDefault="00FC35A7" w:rsidP="00FE510C">
      <w:pPr>
        <w:spacing w:after="80" w:line="252" w:lineRule="auto"/>
        <w:ind w:firstLine="0"/>
        <w:jc w:val="both"/>
        <w:rPr>
          <w:rFonts w:ascii="Bookman Old Style" w:hAnsi="Bookman Old Style"/>
        </w:rPr>
      </w:pPr>
      <w:r>
        <w:rPr>
          <w:rFonts w:ascii="Bookman Old Style" w:hAnsi="Bookman Old Style"/>
        </w:rPr>
        <w:t xml:space="preserve">In tema di rateizzazione </w:t>
      </w:r>
      <w:r w:rsidR="00F13E22">
        <w:rPr>
          <w:rFonts w:ascii="Bookman Old Style" w:hAnsi="Bookman Old Style"/>
        </w:rPr>
        <w:t xml:space="preserve">applicabile </w:t>
      </w:r>
      <w:r>
        <w:rPr>
          <w:rFonts w:ascii="Bookman Old Style" w:hAnsi="Bookman Old Style"/>
        </w:rPr>
        <w:t>fin da</w:t>
      </w:r>
      <w:r w:rsidR="006652D6">
        <w:rPr>
          <w:rFonts w:ascii="Bookman Old Style" w:hAnsi="Bookman Old Style"/>
        </w:rPr>
        <w:t xml:space="preserve">gli </w:t>
      </w:r>
      <w:r w:rsidR="00D974A8">
        <w:rPr>
          <w:rFonts w:ascii="Bookman Old Style" w:hAnsi="Bookman Old Style"/>
        </w:rPr>
        <w:t>avvisi bonari di pagamento</w:t>
      </w:r>
      <w:r w:rsidR="006652D6">
        <w:rPr>
          <w:rFonts w:ascii="Bookman Old Style" w:hAnsi="Bookman Old Style"/>
        </w:rPr>
        <w:t>, va in primo luogo sottolineato che</w:t>
      </w:r>
      <w:r w:rsidR="00F13E22">
        <w:rPr>
          <w:rFonts w:ascii="Bookman Old Style" w:hAnsi="Bookman Old Style"/>
        </w:rPr>
        <w:t xml:space="preserve"> </w:t>
      </w:r>
      <w:r w:rsidR="00F13E22" w:rsidRPr="00CC6CEF">
        <w:rPr>
          <w:rFonts w:ascii="Bookman Old Style" w:hAnsi="Bookman Old Style"/>
        </w:rPr>
        <w:t>non sussist</w:t>
      </w:r>
      <w:r w:rsidR="00F13E22">
        <w:rPr>
          <w:rFonts w:ascii="Bookman Old Style" w:hAnsi="Bookman Old Style"/>
        </w:rPr>
        <w:t>e</w:t>
      </w:r>
      <w:r w:rsidR="00F13E22" w:rsidRPr="00CC6CEF">
        <w:rPr>
          <w:rFonts w:ascii="Bookman Old Style" w:hAnsi="Bookman Old Style"/>
        </w:rPr>
        <w:t xml:space="preserve"> alcun obbligo normativo di recepimento di tale </w:t>
      </w:r>
      <w:r w:rsidR="00F13E22">
        <w:rPr>
          <w:rFonts w:ascii="Bookman Old Style" w:hAnsi="Bookman Old Style"/>
        </w:rPr>
        <w:t>prescrizione</w:t>
      </w:r>
      <w:r w:rsidR="00F13E22" w:rsidRPr="00CC6CEF">
        <w:rPr>
          <w:rFonts w:ascii="Bookman Old Style" w:hAnsi="Bookman Old Style"/>
        </w:rPr>
        <w:t xml:space="preserve">, ma </w:t>
      </w:r>
      <w:r w:rsidR="00D974A8">
        <w:rPr>
          <w:rFonts w:ascii="Bookman Old Style" w:hAnsi="Bookman Old Style"/>
        </w:rPr>
        <w:t xml:space="preserve">si tratti semmai di </w:t>
      </w:r>
      <w:r w:rsidR="00F13E22" w:rsidRPr="00CC6CEF">
        <w:rPr>
          <w:rFonts w:ascii="Bookman Old Style" w:hAnsi="Bookman Old Style"/>
        </w:rPr>
        <w:t xml:space="preserve">una facoltà </w:t>
      </w:r>
      <w:r w:rsidR="00D974A8">
        <w:rPr>
          <w:rFonts w:ascii="Bookman Old Style" w:hAnsi="Bookman Old Style"/>
        </w:rPr>
        <w:t xml:space="preserve">discrezionale </w:t>
      </w:r>
      <w:r w:rsidR="00F13E22" w:rsidRPr="00CC6CEF">
        <w:rPr>
          <w:rFonts w:ascii="Bookman Old Style" w:hAnsi="Bookman Old Style"/>
        </w:rPr>
        <w:t>del Comune. La rateizzazione dell’avviso bonario rappresenta, infatti, una deroga ai termini di versamento stabiliti dalle delibere comunali e non è contemplata dalla disciplina TARI recata dalla legge 147/2013.</w:t>
      </w:r>
    </w:p>
    <w:p w14:paraId="4F03D1D5" w14:textId="6222B920" w:rsidR="005328E4" w:rsidRDefault="00AE158D" w:rsidP="00FE510C">
      <w:pPr>
        <w:spacing w:after="80" w:line="252" w:lineRule="auto"/>
        <w:ind w:firstLine="0"/>
        <w:jc w:val="both"/>
        <w:rPr>
          <w:rFonts w:ascii="Bookman Old Style" w:hAnsi="Bookman Old Style"/>
        </w:rPr>
      </w:pPr>
      <w:r>
        <w:rPr>
          <w:rFonts w:ascii="Bookman Old Style" w:hAnsi="Bookman Old Style"/>
        </w:rPr>
        <w:t>La scelta sottesa a</w:t>
      </w:r>
      <w:r w:rsidR="00363E56">
        <w:rPr>
          <w:rFonts w:ascii="Bookman Old Style" w:hAnsi="Bookman Old Style"/>
        </w:rPr>
        <w:t xml:space="preserve">llo schema di regolamento allegato </w:t>
      </w:r>
      <w:r w:rsidR="00734790">
        <w:rPr>
          <w:rFonts w:ascii="Bookman Old Style" w:hAnsi="Bookman Old Style"/>
        </w:rPr>
        <w:t>propone il recepimento del</w:t>
      </w:r>
      <w:r w:rsidR="00CC6CEF" w:rsidRPr="00CC6CEF">
        <w:rPr>
          <w:rFonts w:ascii="Bookman Old Style" w:hAnsi="Bookman Old Style"/>
        </w:rPr>
        <w:t xml:space="preserve">le indicazioni di </w:t>
      </w:r>
      <w:r w:rsidR="00363E56">
        <w:rPr>
          <w:rFonts w:ascii="Bookman Old Style" w:hAnsi="Bookman Old Style"/>
        </w:rPr>
        <w:t>ARERA</w:t>
      </w:r>
      <w:r w:rsidR="00734790">
        <w:rPr>
          <w:rFonts w:ascii="Bookman Old Style" w:hAnsi="Bookman Old Style"/>
        </w:rPr>
        <w:t xml:space="preserve"> circa la disponibilità di tale </w:t>
      </w:r>
      <w:r w:rsidR="005328E4">
        <w:rPr>
          <w:rFonts w:ascii="Bookman Old Style" w:hAnsi="Bookman Old Style"/>
        </w:rPr>
        <w:t>facilitazione</w:t>
      </w:r>
      <w:r w:rsidR="007524A1">
        <w:rPr>
          <w:rFonts w:ascii="Bookman Old Style" w:hAnsi="Bookman Old Style"/>
        </w:rPr>
        <w:t>, indicandone le condizioni</w:t>
      </w:r>
      <w:r w:rsidR="00CC6CEF" w:rsidRPr="00CC6CEF">
        <w:rPr>
          <w:rFonts w:ascii="Bookman Old Style" w:hAnsi="Bookman Old Style"/>
        </w:rPr>
        <w:t>.</w:t>
      </w:r>
    </w:p>
    <w:p w14:paraId="72DBDCC7" w14:textId="401B7538" w:rsidR="00FE510C" w:rsidRDefault="008D1262" w:rsidP="00FE510C">
      <w:pPr>
        <w:spacing w:after="80" w:line="252" w:lineRule="auto"/>
        <w:ind w:firstLine="0"/>
        <w:jc w:val="both"/>
        <w:rPr>
          <w:rFonts w:ascii="Bookman Old Style" w:hAnsi="Bookman Old Style"/>
        </w:rPr>
      </w:pPr>
      <w:r>
        <w:rPr>
          <w:rFonts w:ascii="Bookman Old Style" w:hAnsi="Bookman Old Style"/>
        </w:rPr>
        <w:t>Va in proposito segnalato che, a</w:t>
      </w:r>
      <w:r w:rsidR="00CC6CEF" w:rsidRPr="00CC6CEF">
        <w:rPr>
          <w:rFonts w:ascii="Bookman Old Style" w:hAnsi="Bookman Old Style"/>
        </w:rPr>
        <w:t>nche nel caso di recepimento</w:t>
      </w:r>
      <w:r>
        <w:rPr>
          <w:rFonts w:ascii="Bookman Old Style" w:hAnsi="Bookman Old Style"/>
        </w:rPr>
        <w:t>,</w:t>
      </w:r>
      <w:r w:rsidR="00CC6CEF" w:rsidRPr="00CC6CEF">
        <w:rPr>
          <w:rFonts w:ascii="Bookman Old Style" w:hAnsi="Bookman Old Style"/>
        </w:rPr>
        <w:t xml:space="preserve"> non </w:t>
      </w:r>
      <w:r>
        <w:rPr>
          <w:rFonts w:ascii="Bookman Old Style" w:hAnsi="Bookman Old Style"/>
        </w:rPr>
        <w:t xml:space="preserve">si ritiene opportuna l’applicazione del </w:t>
      </w:r>
      <w:r w:rsidR="00CC6CEF" w:rsidRPr="00CC6CEF">
        <w:rPr>
          <w:rFonts w:ascii="Bookman Old Style" w:hAnsi="Bookman Old Style"/>
        </w:rPr>
        <w:t>tasso di riferimento fissato dalla Banca Centrale Europea</w:t>
      </w:r>
      <w:r w:rsidR="005A46D3">
        <w:rPr>
          <w:rFonts w:ascii="Bookman Old Style" w:hAnsi="Bookman Old Style"/>
        </w:rPr>
        <w:t xml:space="preserve">, come indicato dall’Autorità, </w:t>
      </w:r>
      <w:r w:rsidR="00CC6CEF" w:rsidRPr="00CC6CEF">
        <w:rPr>
          <w:rFonts w:ascii="Bookman Old Style" w:hAnsi="Bookman Old Style"/>
        </w:rPr>
        <w:t xml:space="preserve">ma si ritiene di dover comunque </w:t>
      </w:r>
      <w:r w:rsidR="005A46D3">
        <w:rPr>
          <w:rFonts w:ascii="Bookman Old Style" w:hAnsi="Bookman Old Style"/>
        </w:rPr>
        <w:t xml:space="preserve">applicare </w:t>
      </w:r>
      <w:r w:rsidR="00CC6CEF" w:rsidRPr="00CC6CEF">
        <w:rPr>
          <w:rFonts w:ascii="Bookman Old Style" w:hAnsi="Bookman Old Style"/>
        </w:rPr>
        <w:t xml:space="preserve">al tasso d’interesse legale, l’unico considerato dalla normativa tributaria come parametro di riferimento base. </w:t>
      </w:r>
      <w:r w:rsidR="009446BA">
        <w:rPr>
          <w:rFonts w:ascii="Bookman Old Style" w:hAnsi="Bookman Old Style"/>
        </w:rPr>
        <w:t>Inf</w:t>
      </w:r>
      <w:r w:rsidR="009379C5">
        <w:rPr>
          <w:rFonts w:ascii="Bookman Old Style" w:hAnsi="Bookman Old Style"/>
        </w:rPr>
        <w:t>atti</w:t>
      </w:r>
      <w:r w:rsidR="009446BA">
        <w:rPr>
          <w:rFonts w:ascii="Bookman Old Style" w:hAnsi="Bookman Old Style"/>
        </w:rPr>
        <w:t>, anche per quanto riguarda gli interessi, la previsione dell’Autorità confligge con quella della legge</w:t>
      </w:r>
      <w:r w:rsidR="00F352E7">
        <w:rPr>
          <w:rFonts w:ascii="Bookman Old Style" w:hAnsi="Bookman Old Style"/>
        </w:rPr>
        <w:t>.</w:t>
      </w:r>
      <w:r w:rsidR="009446BA">
        <w:rPr>
          <w:rFonts w:ascii="Bookman Old Style" w:hAnsi="Bookman Old Style"/>
        </w:rPr>
        <w:t xml:space="preserve"> </w:t>
      </w:r>
      <w:r w:rsidR="00F352E7">
        <w:rPr>
          <w:rFonts w:ascii="Bookman Old Style" w:hAnsi="Bookman Old Style"/>
        </w:rPr>
        <w:t>I</w:t>
      </w:r>
      <w:r w:rsidR="009446BA" w:rsidRPr="006B7BED">
        <w:rPr>
          <w:rFonts w:ascii="Bookman Old Style" w:hAnsi="Bookman Old Style"/>
        </w:rPr>
        <w:t>n caso di maggior</w:t>
      </w:r>
      <w:r w:rsidR="009446BA">
        <w:rPr>
          <w:rFonts w:ascii="Bookman Old Style" w:hAnsi="Bookman Old Style"/>
        </w:rPr>
        <w:t xml:space="preserve"> </w:t>
      </w:r>
      <w:r w:rsidR="009446BA" w:rsidRPr="006B7BED">
        <w:rPr>
          <w:rFonts w:ascii="Bookman Old Style" w:hAnsi="Bookman Old Style"/>
        </w:rPr>
        <w:t>rateazione gli interessi sono dovuti per legge e la non applicazione di essi comporta danno erariale.</w:t>
      </w:r>
      <w:r w:rsidR="009446BA">
        <w:rPr>
          <w:rFonts w:ascii="Bookman Old Style" w:hAnsi="Bookman Old Style"/>
        </w:rPr>
        <w:t xml:space="preserve"> </w:t>
      </w:r>
      <w:r w:rsidR="009446BA" w:rsidRPr="00BB0230">
        <w:rPr>
          <w:rFonts w:ascii="Bookman Old Style" w:hAnsi="Bookman Old Style"/>
        </w:rPr>
        <w:t xml:space="preserve">Più in </w:t>
      </w:r>
      <w:r w:rsidR="009446BA">
        <w:rPr>
          <w:rFonts w:ascii="Bookman Old Style" w:hAnsi="Bookman Old Style"/>
        </w:rPr>
        <w:t>particolare</w:t>
      </w:r>
      <w:r w:rsidR="009446BA" w:rsidRPr="00BB0230">
        <w:rPr>
          <w:rFonts w:ascii="Bookman Old Style" w:hAnsi="Bookman Old Style"/>
        </w:rPr>
        <w:t>, ai sensi dell’art. 1, comma 165 della L. 296/2006, la misura annua degli interessi è determinata, da ciascun ente impositore, entro il limite di tre punti percentuali di differenza rispetto al tasso di interesse legale. Nella stessa misura sono</w:t>
      </w:r>
      <w:r w:rsidR="009446BA">
        <w:rPr>
          <w:rFonts w:ascii="Bookman Old Style" w:hAnsi="Bookman Old Style"/>
        </w:rPr>
        <w:t xml:space="preserve"> </w:t>
      </w:r>
      <w:r w:rsidR="009446BA" w:rsidRPr="00BB0230">
        <w:rPr>
          <w:rFonts w:ascii="Bookman Old Style" w:hAnsi="Bookman Old Style"/>
        </w:rPr>
        <w:t>determinati gli interessi in caso di rimborso al contribuente. A ciò si aggiung</w:t>
      </w:r>
      <w:r w:rsidR="007E4C73">
        <w:rPr>
          <w:rFonts w:ascii="Bookman Old Style" w:hAnsi="Bookman Old Style"/>
        </w:rPr>
        <w:t>a</w:t>
      </w:r>
      <w:r w:rsidR="009446BA" w:rsidRPr="00BB0230">
        <w:rPr>
          <w:rFonts w:ascii="Bookman Old Style" w:hAnsi="Bookman Old Style"/>
        </w:rPr>
        <w:t xml:space="preserve"> che il tardivo od omesso versamento è specificatamente sanzionato con il 30%, ai sensi dell’art. 13, del d.lgs. 471/1997, misura graduata in funzione dei giorni di ritardo.</w:t>
      </w:r>
    </w:p>
    <w:p w14:paraId="765508B2" w14:textId="69670FA1" w:rsidR="00495EB9" w:rsidRDefault="00CC6CEF" w:rsidP="00FE510C">
      <w:pPr>
        <w:spacing w:after="80" w:line="252" w:lineRule="auto"/>
        <w:ind w:firstLine="0"/>
        <w:jc w:val="both"/>
        <w:rPr>
          <w:rFonts w:ascii="Bookman Old Style" w:hAnsi="Bookman Old Style"/>
        </w:rPr>
      </w:pPr>
      <w:r w:rsidRPr="00CC6CEF">
        <w:rPr>
          <w:rFonts w:ascii="Bookman Old Style" w:hAnsi="Bookman Old Style"/>
        </w:rPr>
        <w:t xml:space="preserve">Peraltro, gli interessi legali sono un accessorio dell’obbligazione tributaria, sicché si ritiene che in tale materia operi la competenza esclusiva dell’ente impositore, da esercitarsi nei </w:t>
      </w:r>
      <w:r w:rsidR="00481AA4">
        <w:rPr>
          <w:rFonts w:ascii="Bookman Old Style" w:hAnsi="Bookman Old Style"/>
        </w:rPr>
        <w:t xml:space="preserve">richiamati </w:t>
      </w:r>
      <w:r w:rsidRPr="00CC6CEF">
        <w:rPr>
          <w:rFonts w:ascii="Bookman Old Style" w:hAnsi="Bookman Old Style"/>
        </w:rPr>
        <w:t>limiti individuati dalla legge stessa.</w:t>
      </w:r>
    </w:p>
    <w:p w14:paraId="7B4C073B" w14:textId="15EBA20B" w:rsidR="00101533" w:rsidRPr="00492502" w:rsidRDefault="00101533" w:rsidP="00101533">
      <w:pPr>
        <w:pStyle w:val="Titolo2"/>
        <w:rPr>
          <w:rFonts w:ascii="Bookman Old Style" w:hAnsi="Bookman Old Style"/>
          <w:i/>
          <w:iCs/>
        </w:rPr>
      </w:pPr>
      <w:bookmarkStart w:id="5" w:name="_Toc121591186"/>
      <w:r w:rsidRPr="00492502">
        <w:rPr>
          <w:rFonts w:ascii="Bookman Old Style" w:hAnsi="Bookman Old Style"/>
          <w:i/>
          <w:iCs/>
        </w:rPr>
        <w:t>Carta della qualità del servizio</w:t>
      </w:r>
      <w:bookmarkEnd w:id="5"/>
    </w:p>
    <w:p w14:paraId="0CA737A1" w14:textId="2138207A" w:rsidR="00394D96" w:rsidRDefault="0044244D" w:rsidP="00FE510C">
      <w:pPr>
        <w:spacing w:after="80" w:line="252" w:lineRule="auto"/>
        <w:ind w:firstLine="0"/>
        <w:jc w:val="both"/>
        <w:rPr>
          <w:rFonts w:ascii="Bookman Old Style" w:hAnsi="Bookman Old Style"/>
        </w:rPr>
      </w:pPr>
      <w:r>
        <w:rPr>
          <w:rFonts w:ascii="Bookman Old Style" w:hAnsi="Bookman Old Style"/>
        </w:rPr>
        <w:t>Un ultimo accenno merit</w:t>
      </w:r>
      <w:r w:rsidR="00CA02B1">
        <w:rPr>
          <w:rFonts w:ascii="Bookman Old Style" w:hAnsi="Bookman Old Style"/>
        </w:rPr>
        <w:t>a</w:t>
      </w:r>
      <w:r>
        <w:rPr>
          <w:rFonts w:ascii="Bookman Old Style" w:hAnsi="Bookman Old Style"/>
        </w:rPr>
        <w:t xml:space="preserve"> </w:t>
      </w:r>
      <w:r w:rsidR="00452DED">
        <w:rPr>
          <w:rFonts w:ascii="Bookman Old Style" w:hAnsi="Bookman Old Style"/>
        </w:rPr>
        <w:t xml:space="preserve">il necessario coordinamento tra il </w:t>
      </w:r>
      <w:r w:rsidR="00D86E95">
        <w:rPr>
          <w:rFonts w:ascii="Bookman Old Style" w:hAnsi="Bookman Old Style"/>
        </w:rPr>
        <w:t xml:space="preserve">recepimento della delibera ARERA </w:t>
      </w:r>
      <w:r w:rsidR="00452DED">
        <w:rPr>
          <w:rFonts w:ascii="Bookman Old Style" w:hAnsi="Bookman Old Style"/>
        </w:rPr>
        <w:t xml:space="preserve">e </w:t>
      </w:r>
      <w:r w:rsidR="00D86E95">
        <w:rPr>
          <w:rFonts w:ascii="Bookman Old Style" w:hAnsi="Bookman Old Style"/>
        </w:rPr>
        <w:t>la Carta de</w:t>
      </w:r>
      <w:r w:rsidR="00BF10E3">
        <w:rPr>
          <w:rFonts w:ascii="Bookman Old Style" w:hAnsi="Bookman Old Style"/>
        </w:rPr>
        <w:t>lla qualità</w:t>
      </w:r>
      <w:r w:rsidR="00452DED">
        <w:rPr>
          <w:rFonts w:ascii="Bookman Old Style" w:hAnsi="Bookman Old Style"/>
        </w:rPr>
        <w:t xml:space="preserve"> del servizio rifiuti, </w:t>
      </w:r>
      <w:r w:rsidR="00CA02B1">
        <w:rPr>
          <w:rFonts w:ascii="Bookman Old Style" w:hAnsi="Bookman Old Style"/>
        </w:rPr>
        <w:t>pur nella distinzione tra i due documenti</w:t>
      </w:r>
      <w:r w:rsidR="00D86E95">
        <w:rPr>
          <w:rFonts w:ascii="Bookman Old Style" w:hAnsi="Bookman Old Style"/>
        </w:rPr>
        <w:t xml:space="preserve">. </w:t>
      </w:r>
    </w:p>
    <w:p w14:paraId="0A38AD35" w14:textId="0B64FFC4" w:rsidR="00D86E95" w:rsidRDefault="00E818A7" w:rsidP="00FE510C">
      <w:pPr>
        <w:spacing w:after="80" w:line="252" w:lineRule="auto"/>
        <w:ind w:firstLine="0"/>
        <w:jc w:val="both"/>
        <w:rPr>
          <w:rFonts w:ascii="Bookman Old Style" w:hAnsi="Bookman Old Style"/>
        </w:rPr>
      </w:pPr>
      <w:r>
        <w:rPr>
          <w:rFonts w:ascii="Bookman Old Style" w:hAnsi="Bookman Old Style"/>
        </w:rPr>
        <w:t xml:space="preserve">Appare </w:t>
      </w:r>
      <w:r w:rsidR="00CA02B1">
        <w:rPr>
          <w:rFonts w:ascii="Bookman Old Style" w:hAnsi="Bookman Old Style"/>
        </w:rPr>
        <w:t xml:space="preserve">infatti </w:t>
      </w:r>
      <w:r>
        <w:rPr>
          <w:rFonts w:ascii="Bookman Old Style" w:hAnsi="Bookman Old Style"/>
        </w:rPr>
        <w:t>necessaria</w:t>
      </w:r>
      <w:r w:rsidR="00CA02B1">
        <w:rPr>
          <w:rFonts w:ascii="Bookman Old Style" w:hAnsi="Bookman Old Style"/>
        </w:rPr>
        <w:t xml:space="preserve"> </w:t>
      </w:r>
      <w:r w:rsidR="00543125">
        <w:rPr>
          <w:rFonts w:ascii="Bookman Old Style" w:hAnsi="Bookman Old Style"/>
        </w:rPr>
        <w:t>un’</w:t>
      </w:r>
      <w:r w:rsidR="00D86E95">
        <w:rPr>
          <w:rFonts w:ascii="Bookman Old Style" w:hAnsi="Bookman Old Style"/>
        </w:rPr>
        <w:t>attività di coordinamento con il soggetto tenuto all’approvazione della C</w:t>
      </w:r>
      <w:r w:rsidR="00BF10E3">
        <w:rPr>
          <w:rFonts w:ascii="Bookman Old Style" w:hAnsi="Bookman Old Style"/>
        </w:rPr>
        <w:t>art</w:t>
      </w:r>
      <w:r w:rsidR="00FA2A66">
        <w:rPr>
          <w:rFonts w:ascii="Bookman Old Style" w:hAnsi="Bookman Old Style"/>
        </w:rPr>
        <w:t>a</w:t>
      </w:r>
      <w:r w:rsidR="00BF10E3">
        <w:rPr>
          <w:rFonts w:ascii="Bookman Old Style" w:hAnsi="Bookman Old Style"/>
        </w:rPr>
        <w:t xml:space="preserve"> della qualità</w:t>
      </w:r>
      <w:r w:rsidR="00D86E95">
        <w:rPr>
          <w:rFonts w:ascii="Bookman Old Style" w:hAnsi="Bookman Old Style"/>
        </w:rPr>
        <w:t xml:space="preserve">, che </w:t>
      </w:r>
      <w:r w:rsidR="00724464">
        <w:rPr>
          <w:rFonts w:ascii="Bookman Old Style" w:hAnsi="Bookman Old Style"/>
        </w:rPr>
        <w:t xml:space="preserve">naturalmente può </w:t>
      </w:r>
      <w:r w:rsidR="00D86E95">
        <w:rPr>
          <w:rFonts w:ascii="Bookman Old Style" w:hAnsi="Bookman Old Style"/>
        </w:rPr>
        <w:t xml:space="preserve">non coincidere con il Comune, ipotesi questa che si verifica nel caso in cui esista, e sia </w:t>
      </w:r>
      <w:r w:rsidR="00D15F05">
        <w:rPr>
          <w:rFonts w:ascii="Bookman Old Style" w:hAnsi="Bookman Old Style"/>
        </w:rPr>
        <w:t>operativo</w:t>
      </w:r>
      <w:r w:rsidR="00D86E95">
        <w:rPr>
          <w:rFonts w:ascii="Bookman Old Style" w:hAnsi="Bookman Old Style"/>
        </w:rPr>
        <w:t>, un ente territorialmente competente diverso dall’ente locale</w:t>
      </w:r>
      <w:r w:rsidR="00D15F05">
        <w:rPr>
          <w:rFonts w:ascii="Bookman Old Style" w:hAnsi="Bookman Old Style"/>
        </w:rPr>
        <w:t xml:space="preserve"> (EGATO, Regione, Provincia o Città Metropolitana)</w:t>
      </w:r>
      <w:r w:rsidR="0028716D">
        <w:rPr>
          <w:rFonts w:ascii="Bookman Old Style" w:hAnsi="Bookman Old Style"/>
        </w:rPr>
        <w:t xml:space="preserve">. La necessità del coordinamento deriva </w:t>
      </w:r>
      <w:r w:rsidR="00A824BE">
        <w:rPr>
          <w:rFonts w:ascii="Bookman Old Style" w:hAnsi="Bookman Old Style"/>
        </w:rPr>
        <w:t xml:space="preserve">dunque </w:t>
      </w:r>
      <w:r w:rsidR="0028716D">
        <w:rPr>
          <w:rFonts w:ascii="Bookman Old Style" w:hAnsi="Bookman Old Style"/>
        </w:rPr>
        <w:t>dalla discrasia esistente tra soggetto tenuto ad approvare il regolamento</w:t>
      </w:r>
      <w:r w:rsidR="00BF10E3">
        <w:rPr>
          <w:rFonts w:ascii="Bookman Old Style" w:hAnsi="Bookman Old Style"/>
        </w:rPr>
        <w:t xml:space="preserve"> della TARI e della tariffa corrispettiva</w:t>
      </w:r>
      <w:r w:rsidR="0028716D">
        <w:rPr>
          <w:rFonts w:ascii="Bookman Old Style" w:hAnsi="Bookman Old Style"/>
        </w:rPr>
        <w:t>, ovvero il Comune</w:t>
      </w:r>
      <w:r w:rsidR="0028716D" w:rsidRPr="00F560AF">
        <w:rPr>
          <w:rStyle w:val="Rimandonotaapidipagina"/>
          <w:rFonts w:ascii="Bookman Old Style" w:hAnsi="Bookman Old Style"/>
          <w:sz w:val="20"/>
          <w:szCs w:val="20"/>
          <w:vertAlign w:val="superscript"/>
        </w:rPr>
        <w:footnoteReference w:id="14"/>
      </w:r>
      <w:r w:rsidR="00BF10E3">
        <w:rPr>
          <w:rFonts w:ascii="Bookman Old Style" w:hAnsi="Bookman Old Style"/>
        </w:rPr>
        <w:t xml:space="preserve">, ed il soggetto che è tenuto ad approvare la Carta della qualità, ai </w:t>
      </w:r>
      <w:r w:rsidR="00BF10E3">
        <w:rPr>
          <w:rFonts w:ascii="Bookman Old Style" w:hAnsi="Bookman Old Style"/>
        </w:rPr>
        <w:lastRenderedPageBreak/>
        <w:t>sensi dell’</w:t>
      </w:r>
      <w:r w:rsidR="004D6A54">
        <w:rPr>
          <w:rFonts w:ascii="Bookman Old Style" w:hAnsi="Bookman Old Style"/>
        </w:rPr>
        <w:t>art. 5, del TQRIF</w:t>
      </w:r>
      <w:r w:rsidR="00BF10E3">
        <w:rPr>
          <w:rFonts w:ascii="Bookman Old Style" w:hAnsi="Bookman Old Style"/>
        </w:rPr>
        <w:t>.</w:t>
      </w:r>
      <w:r w:rsidR="00B2704A">
        <w:rPr>
          <w:rFonts w:ascii="Bookman Old Style" w:hAnsi="Bookman Old Style"/>
        </w:rPr>
        <w:t xml:space="preserve"> La necessità di coordinamento si pone sia con riferimento alle varie tempistiche che alla terminologia usata, </w:t>
      </w:r>
      <w:r w:rsidR="003A72C5">
        <w:rPr>
          <w:rFonts w:ascii="Bookman Old Style" w:hAnsi="Bookman Old Style"/>
        </w:rPr>
        <w:t xml:space="preserve">anche </w:t>
      </w:r>
      <w:r w:rsidR="00B2704A">
        <w:rPr>
          <w:rFonts w:ascii="Bookman Old Style" w:hAnsi="Bookman Old Style"/>
        </w:rPr>
        <w:t>al fine di non ingenerare inutili complicazioni ed incertezze in capo al contribuente della TARI ed all’utente della tariffa corrispettiva.</w:t>
      </w:r>
    </w:p>
    <w:p w14:paraId="7B934F63" w14:textId="2114BB90" w:rsidR="0004610D" w:rsidRDefault="00446983" w:rsidP="00FE510C">
      <w:pPr>
        <w:spacing w:after="80" w:line="252" w:lineRule="auto"/>
        <w:ind w:firstLine="0"/>
        <w:jc w:val="both"/>
        <w:rPr>
          <w:rFonts w:ascii="Bookman Old Style" w:hAnsi="Bookman Old Style"/>
        </w:rPr>
      </w:pPr>
      <w:r>
        <w:rPr>
          <w:rFonts w:ascii="Bookman Old Style" w:hAnsi="Bookman Old Style"/>
        </w:rPr>
        <w:t xml:space="preserve">Nel </w:t>
      </w:r>
      <w:r w:rsidR="000E6A7D">
        <w:rPr>
          <w:rFonts w:ascii="Bookman Old Style" w:hAnsi="Bookman Old Style"/>
        </w:rPr>
        <w:t>prosieguo</w:t>
      </w:r>
      <w:r>
        <w:rPr>
          <w:rFonts w:ascii="Bookman Old Style" w:hAnsi="Bookman Old Style"/>
        </w:rPr>
        <w:t xml:space="preserve"> si riportano </w:t>
      </w:r>
      <w:r w:rsidR="000E6A7D">
        <w:rPr>
          <w:rFonts w:ascii="Bookman Old Style" w:hAnsi="Bookman Old Style"/>
        </w:rPr>
        <w:t>dei prototipi di articoli del regolamento TARI</w:t>
      </w:r>
      <w:r w:rsidRPr="003B32D6">
        <w:rPr>
          <w:rStyle w:val="Rimandonotaapidipagina"/>
          <w:rFonts w:ascii="Bookman Old Style" w:hAnsi="Bookman Old Style"/>
          <w:sz w:val="20"/>
          <w:szCs w:val="20"/>
          <w:vertAlign w:val="superscript"/>
        </w:rPr>
        <w:footnoteReference w:id="15"/>
      </w:r>
      <w:r>
        <w:rPr>
          <w:rFonts w:ascii="Bookman Old Style" w:hAnsi="Bookman Old Style"/>
        </w:rPr>
        <w:t xml:space="preserve"> che nel disciplinare i singoli ambiti di applicazione del tributo recepiscono</w:t>
      </w:r>
      <w:r w:rsidR="008B7E90" w:rsidRPr="003B32D6">
        <w:rPr>
          <w:rStyle w:val="Rimandonotaapidipagina"/>
          <w:rFonts w:ascii="Bookman Old Style" w:hAnsi="Bookman Old Style"/>
          <w:sz w:val="20"/>
          <w:szCs w:val="20"/>
          <w:vertAlign w:val="superscript"/>
        </w:rPr>
        <w:footnoteReference w:id="16"/>
      </w:r>
      <w:r>
        <w:rPr>
          <w:rFonts w:ascii="Bookman Old Style" w:hAnsi="Bookman Old Style"/>
        </w:rPr>
        <w:t>, laddove possibile, le indicazioni</w:t>
      </w:r>
      <w:r w:rsidR="000E6A7D">
        <w:rPr>
          <w:rFonts w:ascii="Bookman Old Style" w:hAnsi="Bookman Old Style"/>
        </w:rPr>
        <w:t xml:space="preserve"> (evidenziate in grassetto)</w:t>
      </w:r>
      <w:r>
        <w:rPr>
          <w:rFonts w:ascii="Bookman Old Style" w:hAnsi="Bookman Old Style"/>
        </w:rPr>
        <w:t xml:space="preserve"> contenute nella delibera ARERA 15/2022.</w:t>
      </w:r>
      <w:r w:rsidR="008B7E90">
        <w:rPr>
          <w:rFonts w:ascii="Bookman Old Style" w:hAnsi="Bookman Old Style"/>
        </w:rPr>
        <w:t xml:space="preserve"> </w:t>
      </w:r>
      <w:r w:rsidR="00EA5A59">
        <w:rPr>
          <w:rFonts w:ascii="Bookman Old Style" w:hAnsi="Bookman Old Style"/>
        </w:rPr>
        <w:t>Si precisa che le motivazioni delle scelte operate sono illustrate nelle note a piè di pagina.</w:t>
      </w:r>
    </w:p>
    <w:p w14:paraId="6610AD9A" w14:textId="729564DE" w:rsidR="004C052C" w:rsidRDefault="004C052C" w:rsidP="00FE510C">
      <w:pPr>
        <w:spacing w:after="80" w:line="252" w:lineRule="auto"/>
        <w:ind w:firstLine="0"/>
        <w:jc w:val="both"/>
        <w:rPr>
          <w:rFonts w:ascii="Bookman Old Style" w:hAnsi="Bookman Old Style"/>
        </w:rPr>
      </w:pPr>
      <w:r>
        <w:rPr>
          <w:rFonts w:ascii="Bookman Old Style" w:hAnsi="Bookman Old Style"/>
        </w:rPr>
        <w:t>Infine, s</w:t>
      </w:r>
      <w:r w:rsidRPr="004C052C">
        <w:rPr>
          <w:rFonts w:ascii="Bookman Old Style" w:hAnsi="Bookman Old Style"/>
        </w:rPr>
        <w:t xml:space="preserve">i ritiene che quanto previsto dal Titolo IV – </w:t>
      </w:r>
      <w:r w:rsidRPr="004C052C">
        <w:rPr>
          <w:rFonts w:ascii="Bookman Old Style" w:hAnsi="Bookman Old Style"/>
          <w:i/>
        </w:rPr>
        <w:t>Punti di contatto con l’utente</w:t>
      </w:r>
      <w:r w:rsidRPr="004C052C">
        <w:rPr>
          <w:rFonts w:ascii="Bookman Old Style" w:hAnsi="Bookman Old Style"/>
        </w:rPr>
        <w:t xml:space="preserve"> – del TQRIF attenga esclusivamente ad aspetti organizzativi che non richiedono </w:t>
      </w:r>
      <w:r>
        <w:rPr>
          <w:rFonts w:ascii="Bookman Old Style" w:hAnsi="Bookman Old Style"/>
        </w:rPr>
        <w:t>di</w:t>
      </w:r>
      <w:r w:rsidRPr="004C052C">
        <w:rPr>
          <w:rFonts w:ascii="Bookman Old Style" w:hAnsi="Bookman Old Style"/>
        </w:rPr>
        <w:t xml:space="preserve"> essere disciplinati nel regolamento comunale.</w:t>
      </w:r>
      <w:r>
        <w:rPr>
          <w:rFonts w:ascii="Bookman Old Style" w:hAnsi="Bookman Old Style"/>
        </w:rPr>
        <w:t xml:space="preserve"> </w:t>
      </w:r>
    </w:p>
    <w:p w14:paraId="33558A8F" w14:textId="77777777" w:rsidR="00446983" w:rsidRDefault="00446983" w:rsidP="00FE510C">
      <w:pPr>
        <w:spacing w:after="80" w:line="252" w:lineRule="auto"/>
        <w:rPr>
          <w:rFonts w:ascii="Bookman Old Style" w:hAnsi="Bookman Old Style"/>
        </w:rPr>
      </w:pPr>
    </w:p>
    <w:p w14:paraId="74A5050C" w14:textId="074C1C02" w:rsidR="001A26C4" w:rsidRDefault="001A26C4">
      <w:pPr>
        <w:spacing w:after="40" w:line="276" w:lineRule="auto"/>
        <w:ind w:firstLine="0"/>
        <w:rPr>
          <w:rFonts w:ascii="Bookman Old Style" w:hAnsi="Bookman Old Style"/>
        </w:rPr>
      </w:pPr>
      <w:r>
        <w:rPr>
          <w:rFonts w:ascii="Bookman Old Style" w:hAnsi="Bookman Old Style"/>
        </w:rPr>
        <w:br w:type="page"/>
      </w:r>
    </w:p>
    <w:p w14:paraId="0DDB3F3D" w14:textId="77777777" w:rsidR="00446983" w:rsidRPr="00644FDD" w:rsidRDefault="00446983">
      <w:pPr>
        <w:rPr>
          <w:rFonts w:ascii="Bookman Old Style" w:hAnsi="Bookman Old Style"/>
        </w:rPr>
      </w:pPr>
    </w:p>
    <w:p w14:paraId="67BC0512" w14:textId="3A8A5842" w:rsidR="00E7171A" w:rsidRDefault="00E7171A" w:rsidP="00E7171A">
      <w:pPr>
        <w:pStyle w:val="Titolo2"/>
        <w:rPr>
          <w:rFonts w:ascii="Bookman Old Style" w:hAnsi="Bookman Old Style"/>
          <w:sz w:val="22"/>
          <w:szCs w:val="22"/>
        </w:rPr>
      </w:pPr>
      <w:bookmarkStart w:id="6" w:name="_Toc121591187"/>
      <w:r w:rsidRPr="00644FDD">
        <w:rPr>
          <w:rFonts w:ascii="Bookman Old Style" w:hAnsi="Bookman Old Style"/>
          <w:sz w:val="22"/>
          <w:szCs w:val="22"/>
        </w:rPr>
        <w:t>Articolo X</w:t>
      </w:r>
      <w:r w:rsidR="00556721">
        <w:rPr>
          <w:rFonts w:ascii="Bookman Old Style" w:hAnsi="Bookman Old Style"/>
          <w:sz w:val="22"/>
          <w:szCs w:val="22"/>
        </w:rPr>
        <w:t>1</w:t>
      </w:r>
      <w:bookmarkStart w:id="7" w:name="_Toc527639481"/>
      <w:r w:rsidRPr="00644FDD">
        <w:rPr>
          <w:rFonts w:ascii="Bookman Old Style" w:hAnsi="Bookman Old Style"/>
          <w:sz w:val="22"/>
          <w:szCs w:val="22"/>
        </w:rPr>
        <w:t xml:space="preserve"> </w:t>
      </w:r>
      <w:r w:rsidR="00EE619A">
        <w:rPr>
          <w:rFonts w:ascii="Bookman Old Style" w:hAnsi="Bookman Old Style"/>
          <w:sz w:val="22"/>
          <w:szCs w:val="22"/>
        </w:rPr>
        <w:t>–</w:t>
      </w:r>
      <w:r w:rsidRPr="00644FDD">
        <w:rPr>
          <w:rFonts w:ascii="Bookman Old Style" w:hAnsi="Bookman Old Style"/>
          <w:sz w:val="22"/>
          <w:szCs w:val="22"/>
        </w:rPr>
        <w:t xml:space="preserve"> D</w:t>
      </w:r>
      <w:r w:rsidR="0038349C">
        <w:rPr>
          <w:rFonts w:ascii="Bookman Old Style" w:hAnsi="Bookman Old Style"/>
          <w:sz w:val="22"/>
          <w:szCs w:val="22"/>
        </w:rPr>
        <w:t>ichiarazione</w:t>
      </w:r>
      <w:bookmarkEnd w:id="6"/>
      <w:bookmarkEnd w:id="7"/>
    </w:p>
    <w:p w14:paraId="3D1A8C7A" w14:textId="61F3922E" w:rsidR="00446983" w:rsidRDefault="00A3576F" w:rsidP="00D2465D">
      <w:pPr>
        <w:shd w:val="clear" w:color="auto" w:fill="EEECE1" w:themeFill="background2"/>
        <w:ind w:firstLine="0"/>
        <w:jc w:val="both"/>
        <w:rPr>
          <w:rFonts w:ascii="Bookman Old Style" w:hAnsi="Bookman Old Style"/>
          <w:i/>
          <w:iCs/>
          <w:color w:val="000000" w:themeColor="text1"/>
        </w:rPr>
      </w:pPr>
      <w:r w:rsidRPr="00D2465D">
        <w:rPr>
          <w:rFonts w:ascii="Bookman Old Style" w:hAnsi="Bookman Old Style"/>
          <w:i/>
          <w:iCs/>
          <w:color w:val="000000" w:themeColor="text1"/>
        </w:rPr>
        <w:t xml:space="preserve">In questo articolo viene regolamentata la </w:t>
      </w:r>
      <w:r w:rsidR="00446983">
        <w:rPr>
          <w:rFonts w:ascii="Bookman Old Style" w:hAnsi="Bookman Old Style"/>
          <w:i/>
          <w:iCs/>
          <w:color w:val="000000" w:themeColor="text1"/>
        </w:rPr>
        <w:t>dichiarazione TARI</w:t>
      </w:r>
      <w:r w:rsidR="003207D4">
        <w:rPr>
          <w:rFonts w:ascii="Bookman Old Style" w:hAnsi="Bookman Old Style"/>
          <w:i/>
          <w:iCs/>
          <w:color w:val="000000" w:themeColor="text1"/>
        </w:rPr>
        <w:t>, recependo le indicazioni contenute negli articoli 6, 7, 8, 10, 11 e 12 del TQRIF.</w:t>
      </w:r>
    </w:p>
    <w:p w14:paraId="5FB086F0" w14:textId="77777777" w:rsidR="000F0F38" w:rsidRDefault="000F0F38" w:rsidP="000F0F38">
      <w:pPr>
        <w:pStyle w:val="Paragrafoelenco"/>
        <w:ind w:left="0" w:firstLine="0"/>
        <w:jc w:val="both"/>
        <w:rPr>
          <w:rFonts w:ascii="Bookman Old Style" w:hAnsi="Bookman Old Style"/>
        </w:rPr>
      </w:pPr>
    </w:p>
    <w:p w14:paraId="1658181A" w14:textId="46A76B95" w:rsidR="0038349C" w:rsidRPr="008B7E90" w:rsidRDefault="00993469" w:rsidP="0038349C">
      <w:pPr>
        <w:spacing w:after="40" w:line="257" w:lineRule="auto"/>
        <w:ind w:left="502" w:firstLine="0"/>
        <w:jc w:val="both"/>
        <w:rPr>
          <w:rFonts w:ascii="Bookman Old Style" w:hAnsi="Bookman Old Style"/>
          <w:b/>
        </w:rPr>
      </w:pPr>
      <w:r>
        <w:rPr>
          <w:rFonts w:ascii="Bookman Old Style" w:hAnsi="Bookman Old Style"/>
        </w:rPr>
        <w:t xml:space="preserve">1. </w:t>
      </w:r>
      <w:r w:rsidR="0038349C" w:rsidRPr="0038349C">
        <w:rPr>
          <w:rFonts w:ascii="Bookman Old Style" w:hAnsi="Bookman Old Style"/>
        </w:rPr>
        <w:t>Il soggetto passivo, di cui all’ART.</w:t>
      </w:r>
      <w:r w:rsidR="0038349C">
        <w:rPr>
          <w:rFonts w:ascii="Bookman Old Style" w:hAnsi="Bookman Old Style"/>
        </w:rPr>
        <w:t>XY,</w:t>
      </w:r>
      <w:r w:rsidR="0038349C" w:rsidRPr="0038349C">
        <w:rPr>
          <w:rFonts w:ascii="Bookman Old Style" w:hAnsi="Bookman Old Style"/>
        </w:rPr>
        <w:t xml:space="preserve"> ha l’obbligo di dichiarare al Comune ogni circostanza rilevante per l’applicazione del tributo e in particolare, l’inizio, la variazione e la cessazione dell’utenza, la sussistenza delle condizioni per ottenere agevolazioni o riduzioni, il modificarsi o il venir meno delle condizioni per beneficiare di agevolazioni o riduzioni.</w:t>
      </w:r>
      <w:r w:rsidR="008B7E90">
        <w:rPr>
          <w:rFonts w:ascii="Bookman Old Style" w:hAnsi="Bookman Old Style"/>
        </w:rPr>
        <w:t xml:space="preserve"> </w:t>
      </w:r>
      <w:r w:rsidR="008B7E90" w:rsidRPr="008B7E90">
        <w:rPr>
          <w:rFonts w:ascii="Bookman Old Style" w:hAnsi="Bookman Old Style"/>
          <w:b/>
        </w:rPr>
        <w:t>La dichiarazione assume anche il valore di richiesta di attivazione del servizio, ai sensi dell’art. 6 del TQRIF, di cui alla delibera ARERA n. 15 del 2022.</w:t>
      </w:r>
    </w:p>
    <w:p w14:paraId="4CA14F46" w14:textId="74593439" w:rsidR="0038349C" w:rsidRPr="0038349C" w:rsidRDefault="00993469" w:rsidP="0038349C">
      <w:pPr>
        <w:spacing w:after="40" w:line="257" w:lineRule="auto"/>
        <w:ind w:left="502" w:firstLine="0"/>
        <w:jc w:val="both"/>
        <w:rPr>
          <w:rFonts w:ascii="Bookman Old Style" w:hAnsi="Bookman Old Style"/>
        </w:rPr>
      </w:pPr>
      <w:r>
        <w:rPr>
          <w:rFonts w:ascii="Bookman Old Style" w:hAnsi="Bookman Old Style"/>
        </w:rPr>
        <w:t xml:space="preserve">2. </w:t>
      </w:r>
      <w:r w:rsidR="0038349C" w:rsidRPr="0038349C">
        <w:rPr>
          <w:rFonts w:ascii="Bookman Old Style" w:hAnsi="Bookman Old Style"/>
        </w:rPr>
        <w:t>Nella dichiarazione di cui al comma 1 devono essere obbligatoriamente indicati i seguenti elementi:</w:t>
      </w:r>
    </w:p>
    <w:p w14:paraId="636B0240" w14:textId="77777777" w:rsidR="0038349C" w:rsidRPr="0038349C" w:rsidRDefault="0038349C" w:rsidP="0038349C">
      <w:pPr>
        <w:spacing w:after="40" w:line="257" w:lineRule="auto"/>
        <w:ind w:left="502" w:firstLine="0"/>
        <w:jc w:val="both"/>
        <w:rPr>
          <w:rFonts w:ascii="Bookman Old Style" w:hAnsi="Bookman Old Style"/>
        </w:rPr>
      </w:pPr>
      <w:r w:rsidRPr="00C21919">
        <w:rPr>
          <w:rFonts w:ascii="Bookman Old Style" w:hAnsi="Bookman Old Style"/>
          <w:u w:val="single"/>
        </w:rPr>
        <w:t>Utenze domestiche</w:t>
      </w:r>
    </w:p>
    <w:p w14:paraId="1B423894" w14:textId="0821DB8F" w:rsidR="0038349C" w:rsidRPr="005D3A92" w:rsidRDefault="0038349C" w:rsidP="005D3A92">
      <w:pPr>
        <w:pStyle w:val="Paragrafoelenco"/>
        <w:numPr>
          <w:ilvl w:val="0"/>
          <w:numId w:val="35"/>
        </w:numPr>
        <w:spacing w:after="40" w:line="257" w:lineRule="auto"/>
        <w:jc w:val="both"/>
        <w:rPr>
          <w:rFonts w:ascii="Bookman Old Style" w:hAnsi="Bookman Old Style"/>
        </w:rPr>
      </w:pPr>
      <w:r w:rsidRPr="005D3A92">
        <w:rPr>
          <w:rFonts w:ascii="Bookman Old Style" w:hAnsi="Bookman Old Style"/>
        </w:rPr>
        <w:t>Generalità del contribuente, la residenza e il codice fiscale;</w:t>
      </w:r>
    </w:p>
    <w:p w14:paraId="39A19D71" w14:textId="4D0FFE0E" w:rsidR="005D3A92" w:rsidRPr="005D3A92" w:rsidRDefault="005D3A92" w:rsidP="005D3A92">
      <w:pPr>
        <w:pStyle w:val="Paragrafoelenco"/>
        <w:numPr>
          <w:ilvl w:val="0"/>
          <w:numId w:val="35"/>
        </w:numPr>
        <w:spacing w:after="40" w:line="257" w:lineRule="auto"/>
        <w:jc w:val="both"/>
        <w:rPr>
          <w:rFonts w:ascii="Bookman Old Style" w:hAnsi="Bookman Old Style"/>
        </w:rPr>
      </w:pPr>
      <w:r w:rsidRPr="005D3A92">
        <w:rPr>
          <w:rFonts w:ascii="Bookman Old Style" w:hAnsi="Bookman Old Style"/>
          <w:b/>
        </w:rPr>
        <w:t>Il recapito postale, di posta elettronica del contribuente</w:t>
      </w:r>
      <w:r>
        <w:rPr>
          <w:rFonts w:ascii="Bookman Old Style" w:hAnsi="Bookman Old Style"/>
        </w:rPr>
        <w:t>;</w:t>
      </w:r>
    </w:p>
    <w:p w14:paraId="56814BBF" w14:textId="07634543" w:rsidR="0038349C" w:rsidRPr="0038349C" w:rsidRDefault="0038349C" w:rsidP="005D3A92">
      <w:pPr>
        <w:pStyle w:val="Paragrafoelenco"/>
        <w:numPr>
          <w:ilvl w:val="0"/>
          <w:numId w:val="35"/>
        </w:numPr>
        <w:spacing w:after="40" w:line="257" w:lineRule="auto"/>
        <w:jc w:val="both"/>
        <w:rPr>
          <w:rFonts w:ascii="Bookman Old Style" w:hAnsi="Bookman Old Style"/>
        </w:rPr>
      </w:pPr>
      <w:r w:rsidRPr="0038349C">
        <w:rPr>
          <w:rFonts w:ascii="Bookman Old Style" w:hAnsi="Bookman Old Style"/>
        </w:rPr>
        <w:t>Dati catastali, indirizzo di ubicazione comprensivo di numero civico e di numero dell’interno ove esistente, superficie calpestabile calcolata secondo le modalità stabilite nell’ART.</w:t>
      </w:r>
      <w:r w:rsidR="00EC2617">
        <w:rPr>
          <w:rFonts w:ascii="Bookman Old Style" w:hAnsi="Bookman Old Style"/>
        </w:rPr>
        <w:t>XY</w:t>
      </w:r>
      <w:r w:rsidRPr="0038349C">
        <w:rPr>
          <w:rFonts w:ascii="Bookman Old Style" w:hAnsi="Bookman Old Style"/>
        </w:rPr>
        <w:t xml:space="preserve"> -  del presente Regolamento e destinazione d’uso dei singoli locali;</w:t>
      </w:r>
    </w:p>
    <w:p w14:paraId="3943D141" w14:textId="3C72EF30" w:rsidR="0038349C" w:rsidRPr="0038349C" w:rsidRDefault="0038349C" w:rsidP="005D3A92">
      <w:pPr>
        <w:pStyle w:val="Paragrafoelenco"/>
        <w:numPr>
          <w:ilvl w:val="0"/>
          <w:numId w:val="35"/>
        </w:numPr>
        <w:spacing w:after="40" w:line="257" w:lineRule="auto"/>
        <w:jc w:val="both"/>
        <w:rPr>
          <w:rFonts w:ascii="Bookman Old Style" w:hAnsi="Bookman Old Style"/>
        </w:rPr>
      </w:pPr>
      <w:r w:rsidRPr="0038349C">
        <w:rPr>
          <w:rFonts w:ascii="Bookman Old Style" w:hAnsi="Bookman Old Style"/>
        </w:rPr>
        <w:t>Numero degli occupanti i locali ivi incluso il numero di componenti diversi dai residenti e dimoranti stabilmente;</w:t>
      </w:r>
    </w:p>
    <w:p w14:paraId="79BF6F8B" w14:textId="4941A8AB" w:rsidR="0038349C" w:rsidRPr="0038349C" w:rsidRDefault="0038349C" w:rsidP="005D3A92">
      <w:pPr>
        <w:pStyle w:val="Paragrafoelenco"/>
        <w:numPr>
          <w:ilvl w:val="0"/>
          <w:numId w:val="35"/>
        </w:numPr>
        <w:spacing w:after="40" w:line="257" w:lineRule="auto"/>
        <w:jc w:val="both"/>
        <w:rPr>
          <w:rFonts w:ascii="Bookman Old Style" w:hAnsi="Bookman Old Style"/>
        </w:rPr>
      </w:pPr>
      <w:r w:rsidRPr="0038349C">
        <w:rPr>
          <w:rFonts w:ascii="Bookman Old Style" w:hAnsi="Bookman Old Style"/>
        </w:rPr>
        <w:t>Generalità e codice fiscale dei soggetti non residenti nei medesimi;</w:t>
      </w:r>
    </w:p>
    <w:p w14:paraId="40272BE5" w14:textId="6FA6EF5B" w:rsidR="0038349C" w:rsidRPr="0038349C" w:rsidRDefault="0038349C" w:rsidP="005D3A92">
      <w:pPr>
        <w:pStyle w:val="Paragrafoelenco"/>
        <w:numPr>
          <w:ilvl w:val="0"/>
          <w:numId w:val="35"/>
        </w:numPr>
        <w:spacing w:after="40" w:line="257" w:lineRule="auto"/>
        <w:jc w:val="both"/>
        <w:rPr>
          <w:rFonts w:ascii="Bookman Old Style" w:hAnsi="Bookman Old Style"/>
        </w:rPr>
      </w:pPr>
      <w:r w:rsidRPr="0038349C">
        <w:rPr>
          <w:rFonts w:ascii="Bookman Old Style" w:hAnsi="Bookman Old Style"/>
        </w:rPr>
        <w:t>Data di inizio o cessazione del possesso o della detenzione dei locali o in cui è intervenuta la variazione; in caso di dichiarazione di cessazione, l’indirizzo di residenza e/o domicilio per l’invio dell’eventuale conguaglio;</w:t>
      </w:r>
    </w:p>
    <w:p w14:paraId="39CBC888" w14:textId="434A13D7" w:rsidR="0038349C" w:rsidRPr="0038349C" w:rsidRDefault="0038349C" w:rsidP="005D3A92">
      <w:pPr>
        <w:pStyle w:val="Paragrafoelenco"/>
        <w:numPr>
          <w:ilvl w:val="0"/>
          <w:numId w:val="35"/>
        </w:numPr>
        <w:spacing w:after="40" w:line="257" w:lineRule="auto"/>
        <w:jc w:val="both"/>
        <w:rPr>
          <w:rFonts w:ascii="Bookman Old Style" w:hAnsi="Bookman Old Style"/>
        </w:rPr>
      </w:pPr>
      <w:r w:rsidRPr="0038349C">
        <w:rPr>
          <w:rFonts w:ascii="Bookman Old Style" w:hAnsi="Bookman Old Style"/>
        </w:rPr>
        <w:t>La sussistenza o il venir meno dei presupposti per usufruire di agevolazioni, riduzioni o esenzioni.</w:t>
      </w:r>
    </w:p>
    <w:p w14:paraId="59D8E92A" w14:textId="77777777" w:rsidR="0038349C" w:rsidRPr="005D3A92" w:rsidRDefault="0038349C" w:rsidP="005D3A92">
      <w:pPr>
        <w:spacing w:after="40" w:line="257" w:lineRule="auto"/>
        <w:ind w:left="502" w:firstLine="0"/>
        <w:jc w:val="both"/>
        <w:rPr>
          <w:rFonts w:ascii="Bookman Old Style" w:hAnsi="Bookman Old Style"/>
          <w:u w:val="single"/>
        </w:rPr>
      </w:pPr>
      <w:r w:rsidRPr="005D3A92">
        <w:rPr>
          <w:rFonts w:ascii="Bookman Old Style" w:hAnsi="Bookman Old Style"/>
          <w:u w:val="single"/>
        </w:rPr>
        <w:t>Utenze non domestiche</w:t>
      </w:r>
    </w:p>
    <w:p w14:paraId="738ACC1C" w14:textId="77777777" w:rsidR="005D3A92" w:rsidRDefault="0038349C" w:rsidP="005D3A92">
      <w:pPr>
        <w:pStyle w:val="Paragrafoelenco"/>
        <w:numPr>
          <w:ilvl w:val="0"/>
          <w:numId w:val="36"/>
        </w:numPr>
        <w:spacing w:after="40" w:line="257" w:lineRule="auto"/>
        <w:jc w:val="both"/>
        <w:rPr>
          <w:rFonts w:ascii="Bookman Old Style" w:hAnsi="Bookman Old Style"/>
        </w:rPr>
      </w:pPr>
      <w:r w:rsidRPr="005D3A92">
        <w:rPr>
          <w:rFonts w:ascii="Bookman Old Style" w:hAnsi="Bookman Old Style"/>
        </w:rPr>
        <w:t>Denominazione della ditta o ragione sociale della società, relativo scopo sociale o istituzionale della persona giuridica, sede principale o legale, codice fiscale e partita IVA, codice Ateco relativo all’attività prevalente, assegnato dalla CCIAA o dagli ordini professionali</w:t>
      </w:r>
      <w:r w:rsidR="005D3A92" w:rsidRPr="005D3A92">
        <w:rPr>
          <w:rFonts w:ascii="Bookman Old Style" w:hAnsi="Bookman Old Style"/>
        </w:rPr>
        <w:t>;</w:t>
      </w:r>
    </w:p>
    <w:p w14:paraId="553E8B90" w14:textId="77777777" w:rsidR="005D3A92" w:rsidRPr="005D3A92" w:rsidRDefault="005D3A92" w:rsidP="005D3A92">
      <w:pPr>
        <w:pStyle w:val="Paragrafoelenco"/>
        <w:numPr>
          <w:ilvl w:val="0"/>
          <w:numId w:val="36"/>
        </w:numPr>
        <w:spacing w:after="40" w:line="257" w:lineRule="auto"/>
        <w:jc w:val="both"/>
        <w:rPr>
          <w:rFonts w:ascii="Bookman Old Style" w:hAnsi="Bookman Old Style"/>
        </w:rPr>
      </w:pPr>
      <w:r w:rsidRPr="005D3A92">
        <w:rPr>
          <w:rFonts w:ascii="Bookman Old Style" w:hAnsi="Bookman Old Style"/>
          <w:b/>
        </w:rPr>
        <w:t>Il recapito postale, di posta elettronica del contribuente</w:t>
      </w:r>
      <w:r w:rsidRPr="005D3A92">
        <w:rPr>
          <w:rFonts w:ascii="Bookman Old Style" w:hAnsi="Bookman Old Style"/>
        </w:rPr>
        <w:t>;</w:t>
      </w:r>
    </w:p>
    <w:p w14:paraId="4FA029B3" w14:textId="1C4CCE23" w:rsidR="0038349C" w:rsidRPr="00B9662E" w:rsidRDefault="0038349C" w:rsidP="005D3A92">
      <w:pPr>
        <w:pStyle w:val="Paragrafoelenco"/>
        <w:numPr>
          <w:ilvl w:val="0"/>
          <w:numId w:val="36"/>
        </w:numPr>
        <w:spacing w:after="40" w:line="257" w:lineRule="auto"/>
        <w:jc w:val="both"/>
        <w:rPr>
          <w:rFonts w:ascii="Bookman Old Style" w:hAnsi="Bookman Old Style"/>
        </w:rPr>
      </w:pPr>
      <w:r w:rsidRPr="005D3A92">
        <w:rPr>
          <w:rFonts w:ascii="Bookman Old Style" w:hAnsi="Bookman Old Style"/>
        </w:rPr>
        <w:t>Gener</w:t>
      </w:r>
      <w:r w:rsidR="00F0471D">
        <w:rPr>
          <w:rFonts w:ascii="Bookman Old Style" w:hAnsi="Bookman Old Style"/>
        </w:rPr>
        <w:t xml:space="preserve">alità del legale rappresentante o </w:t>
      </w:r>
      <w:r w:rsidR="00F0471D" w:rsidRPr="00B9662E">
        <w:rPr>
          <w:rFonts w:ascii="Bookman Old Style" w:hAnsi="Bookman Old Style"/>
        </w:rPr>
        <w:t>di altro soggetto munito dei necessari poteri di sottoscrizione della dichiarazione in nome e per conto del contribuente;</w:t>
      </w:r>
    </w:p>
    <w:p w14:paraId="4E6CA3D9" w14:textId="04B659C8" w:rsidR="0038349C" w:rsidRPr="0038349C" w:rsidRDefault="0038349C" w:rsidP="005D3A92">
      <w:pPr>
        <w:pStyle w:val="Paragrafoelenco"/>
        <w:numPr>
          <w:ilvl w:val="0"/>
          <w:numId w:val="36"/>
        </w:numPr>
        <w:spacing w:after="40" w:line="257" w:lineRule="auto"/>
        <w:jc w:val="both"/>
        <w:rPr>
          <w:rFonts w:ascii="Bookman Old Style" w:hAnsi="Bookman Old Style"/>
        </w:rPr>
      </w:pPr>
      <w:r w:rsidRPr="0038349C">
        <w:rPr>
          <w:rFonts w:ascii="Bookman Old Style" w:hAnsi="Bookman Old Style"/>
        </w:rPr>
        <w:t>Dati catastali, indirizzo di ubicazione comprensivo del numero civico e dell’interno ove esistente, la superficie calpestabile calcolata secondo le modalità stabilite nell’ART.</w:t>
      </w:r>
      <w:r w:rsidR="005D3A92">
        <w:rPr>
          <w:rFonts w:ascii="Bookman Old Style" w:hAnsi="Bookman Old Style"/>
        </w:rPr>
        <w:t>XY</w:t>
      </w:r>
      <w:r w:rsidRPr="0038349C">
        <w:rPr>
          <w:rFonts w:ascii="Bookman Old Style" w:hAnsi="Bookman Old Style"/>
        </w:rPr>
        <w:t xml:space="preserve"> -  del presente Regolamento e destinazione d’uso dei singoli locali ed aree denunciati e loro partizioni interne;</w:t>
      </w:r>
    </w:p>
    <w:p w14:paraId="38D6A448" w14:textId="673F1D4F" w:rsidR="0038349C" w:rsidRPr="0038349C" w:rsidRDefault="0038349C" w:rsidP="005D3A92">
      <w:pPr>
        <w:pStyle w:val="Paragrafoelenco"/>
        <w:numPr>
          <w:ilvl w:val="0"/>
          <w:numId w:val="36"/>
        </w:numPr>
        <w:spacing w:after="40" w:line="257" w:lineRule="auto"/>
        <w:jc w:val="both"/>
        <w:rPr>
          <w:rFonts w:ascii="Bookman Old Style" w:hAnsi="Bookman Old Style"/>
        </w:rPr>
      </w:pPr>
      <w:r w:rsidRPr="0038349C">
        <w:rPr>
          <w:rFonts w:ascii="Bookman Old Style" w:hAnsi="Bookman Old Style"/>
        </w:rPr>
        <w:t>Indicazione dell’eventuale parte della superficie produttiva di rifiuti speciali opportunamente documentata;</w:t>
      </w:r>
    </w:p>
    <w:p w14:paraId="1D693FF1" w14:textId="10F3FBA3" w:rsidR="0038349C" w:rsidRPr="0038349C" w:rsidRDefault="0038349C" w:rsidP="005D3A92">
      <w:pPr>
        <w:pStyle w:val="Paragrafoelenco"/>
        <w:numPr>
          <w:ilvl w:val="0"/>
          <w:numId w:val="36"/>
        </w:numPr>
        <w:spacing w:after="40" w:line="257" w:lineRule="auto"/>
        <w:jc w:val="both"/>
        <w:rPr>
          <w:rFonts w:ascii="Bookman Old Style" w:hAnsi="Bookman Old Style"/>
        </w:rPr>
      </w:pPr>
      <w:r w:rsidRPr="0038349C">
        <w:rPr>
          <w:rFonts w:ascii="Bookman Old Style" w:hAnsi="Bookman Old Style"/>
        </w:rPr>
        <w:t>Data di inizio o di cessazione del possesso o della detenzione o di variazione degli elementi denunciati. In caso di dichiarazione di cessazione, l’indirizzo per l’invio dell’eventuale conguaglio;</w:t>
      </w:r>
    </w:p>
    <w:p w14:paraId="69C6B599" w14:textId="6B298BE8" w:rsidR="0038349C" w:rsidRPr="0038349C" w:rsidRDefault="0038349C" w:rsidP="005D3A92">
      <w:pPr>
        <w:pStyle w:val="Paragrafoelenco"/>
        <w:numPr>
          <w:ilvl w:val="0"/>
          <w:numId w:val="36"/>
        </w:numPr>
        <w:spacing w:after="40" w:line="257" w:lineRule="auto"/>
        <w:jc w:val="both"/>
        <w:rPr>
          <w:rFonts w:ascii="Bookman Old Style" w:hAnsi="Bookman Old Style"/>
        </w:rPr>
      </w:pPr>
      <w:r w:rsidRPr="0038349C">
        <w:rPr>
          <w:rFonts w:ascii="Bookman Old Style" w:hAnsi="Bookman Old Style"/>
        </w:rPr>
        <w:t>La sussistenza o il venir meno dei presupposti per usufruire di agevolazioni, riduzioni o esenzioni.</w:t>
      </w:r>
    </w:p>
    <w:p w14:paraId="07319F81" w14:textId="7D563F2C" w:rsidR="0038349C" w:rsidRDefault="0038349C" w:rsidP="0038349C">
      <w:pPr>
        <w:spacing w:after="40" w:line="257" w:lineRule="auto"/>
        <w:ind w:left="502" w:firstLine="0"/>
        <w:jc w:val="both"/>
        <w:rPr>
          <w:rFonts w:ascii="Bookman Old Style" w:hAnsi="Bookman Old Style"/>
        </w:rPr>
      </w:pPr>
      <w:r w:rsidRPr="0038349C">
        <w:rPr>
          <w:rFonts w:ascii="Bookman Old Style" w:hAnsi="Bookman Old Style"/>
        </w:rPr>
        <w:lastRenderedPageBreak/>
        <w:t>3.</w:t>
      </w:r>
      <w:r w:rsidR="00993469">
        <w:rPr>
          <w:rFonts w:ascii="Bookman Old Style" w:hAnsi="Bookman Old Style"/>
        </w:rPr>
        <w:t xml:space="preserve"> </w:t>
      </w:r>
      <w:r w:rsidRPr="0038349C">
        <w:rPr>
          <w:rFonts w:ascii="Bookman Old Style" w:hAnsi="Bookman Old Style"/>
        </w:rPr>
        <w:t xml:space="preserve">I soggetti obbligati provvedono a consegnare al Comune la dichiarazione, redatta sui moduli appositamente predisposti dallo stesso, </w:t>
      </w:r>
      <w:r w:rsidRPr="005D3A92">
        <w:rPr>
          <w:rFonts w:ascii="Bookman Old Style" w:hAnsi="Bookman Old Style"/>
          <w:b/>
        </w:rPr>
        <w:t xml:space="preserve">entro </w:t>
      </w:r>
      <w:r w:rsidR="005D3A92" w:rsidRPr="005D3A92">
        <w:rPr>
          <w:rFonts w:ascii="Bookman Old Style" w:hAnsi="Bookman Old Style"/>
          <w:b/>
        </w:rPr>
        <w:t>90 giorni solari dalla data in cui sorge l’obbligo di presentazione della dichiarazione di cui al comma 2</w:t>
      </w:r>
      <w:r w:rsidR="005D3A92">
        <w:rPr>
          <w:rFonts w:ascii="Bookman Old Style" w:hAnsi="Bookman Old Style"/>
        </w:rPr>
        <w:t>.</w:t>
      </w:r>
      <w:r w:rsidRPr="0038349C">
        <w:rPr>
          <w:rFonts w:ascii="Bookman Old Style" w:hAnsi="Bookman Old Style"/>
        </w:rPr>
        <w:t xml:space="preserve"> La dichiarazione, debitamente sottoscritta dal soggetto dichiarante, può essere consegnata o direttamente</w:t>
      </w:r>
      <w:r w:rsidR="002A4345">
        <w:rPr>
          <w:rFonts w:ascii="Bookman Old Style" w:hAnsi="Bookman Old Style"/>
        </w:rPr>
        <w:t xml:space="preserve"> </w:t>
      </w:r>
      <w:r w:rsidR="002A4345" w:rsidRPr="002A4345">
        <w:rPr>
          <w:rFonts w:ascii="Bookman Old Style" w:hAnsi="Bookman Old Style"/>
          <w:b/>
        </w:rPr>
        <w:t xml:space="preserve">presso lo sportello </w:t>
      </w:r>
      <w:r w:rsidR="002A4345" w:rsidRPr="00B9662E">
        <w:rPr>
          <w:rFonts w:ascii="Bookman Old Style" w:hAnsi="Bookman Old Style"/>
          <w:b/>
        </w:rPr>
        <w:t>fis</w:t>
      </w:r>
      <w:r w:rsidR="00F0471D" w:rsidRPr="00B9662E">
        <w:rPr>
          <w:rFonts w:ascii="Bookman Old Style" w:hAnsi="Bookman Old Style"/>
          <w:b/>
        </w:rPr>
        <w:t>i</w:t>
      </w:r>
      <w:r w:rsidR="002A4345" w:rsidRPr="00B9662E">
        <w:rPr>
          <w:rFonts w:ascii="Bookman Old Style" w:hAnsi="Bookman Old Style"/>
          <w:b/>
        </w:rPr>
        <w:t>co</w:t>
      </w:r>
      <w:r w:rsidRPr="0038349C">
        <w:rPr>
          <w:rFonts w:ascii="Bookman Old Style" w:hAnsi="Bookman Old Style"/>
        </w:rPr>
        <w:t xml:space="preserve"> o a mezzo posta con raccomandata a/r o a mezzo fax, allegando fotocopia del documento d’iden</w:t>
      </w:r>
      <w:r w:rsidR="002A4345">
        <w:rPr>
          <w:rFonts w:ascii="Bookman Old Style" w:hAnsi="Bookman Old Style"/>
        </w:rPr>
        <w:t xml:space="preserve">tità, o posta elettronica o PEC o, </w:t>
      </w:r>
      <w:r w:rsidR="002A4345" w:rsidRPr="002A4345">
        <w:rPr>
          <w:rFonts w:ascii="Bookman Old Style" w:hAnsi="Bookman Old Style"/>
          <w:b/>
        </w:rPr>
        <w:t>infine</w:t>
      </w:r>
      <w:r w:rsidR="00A77857">
        <w:rPr>
          <w:rFonts w:ascii="Bookman Old Style" w:hAnsi="Bookman Old Style"/>
          <w:b/>
        </w:rPr>
        <w:t>,</w:t>
      </w:r>
      <w:r w:rsidR="002A4345" w:rsidRPr="002A4345">
        <w:rPr>
          <w:rFonts w:ascii="Bookman Old Style" w:hAnsi="Bookman Old Style"/>
          <w:b/>
        </w:rPr>
        <w:t xml:space="preserve"> tramite lo sportello online</w:t>
      </w:r>
      <w:r w:rsidRPr="0038349C">
        <w:rPr>
          <w:rFonts w:ascii="Bookman Old Style" w:hAnsi="Bookman Old Style"/>
        </w:rPr>
        <w:t>. La denuncia si intende consegnata all’atto del ricevimento da parte del Comune, nel caso di consegna diretta, alla data di spedizione risultante dal timbro postale, nel caso di invio postale, o alla data del rapporto di ricevimento nel caso di invio a mezzo fax</w:t>
      </w:r>
      <w:r w:rsidR="002A4345">
        <w:rPr>
          <w:rFonts w:ascii="Bookman Old Style" w:hAnsi="Bookman Old Style"/>
        </w:rPr>
        <w:t xml:space="preserve">, </w:t>
      </w:r>
      <w:r w:rsidR="002A4345" w:rsidRPr="002A4345">
        <w:rPr>
          <w:rFonts w:ascii="Bookman Old Style" w:hAnsi="Bookman Old Style"/>
          <w:b/>
        </w:rPr>
        <w:t>all’atto di caricamento nel caso di dichiarazione compilata online</w:t>
      </w:r>
      <w:r w:rsidRPr="0038349C">
        <w:rPr>
          <w:rFonts w:ascii="Bookman Old Style" w:hAnsi="Bookman Old Style"/>
        </w:rPr>
        <w:t>.</w:t>
      </w:r>
    </w:p>
    <w:p w14:paraId="45B82374" w14:textId="15399638" w:rsidR="00E93966" w:rsidRPr="00993469" w:rsidRDefault="00BB67C1" w:rsidP="00BB67C1">
      <w:pPr>
        <w:spacing w:after="40" w:line="257" w:lineRule="auto"/>
        <w:ind w:left="502" w:firstLine="0"/>
        <w:jc w:val="both"/>
        <w:rPr>
          <w:rFonts w:ascii="Bookman Old Style" w:hAnsi="Bookman Old Style"/>
          <w:b/>
        </w:rPr>
      </w:pPr>
      <w:r w:rsidRPr="00993469">
        <w:rPr>
          <w:rFonts w:ascii="Bookman Old Style" w:hAnsi="Bookman Old Style"/>
          <w:b/>
        </w:rPr>
        <w:t xml:space="preserve">4. </w:t>
      </w:r>
      <w:r w:rsidR="00E93966" w:rsidRPr="00993469">
        <w:rPr>
          <w:rFonts w:ascii="Bookman Old Style" w:hAnsi="Bookman Old Style"/>
          <w:b/>
        </w:rPr>
        <w:t xml:space="preserve">Il modello di dichiarazione predisposto dal Comune riporta le principali informazioni </w:t>
      </w:r>
      <w:r w:rsidRPr="00993469">
        <w:rPr>
          <w:rFonts w:ascii="Bookman Old Style" w:hAnsi="Bookman Old Style"/>
          <w:b/>
        </w:rPr>
        <w:t xml:space="preserve">sulle condizioni di erogazione del servizio integrato di gestione dei rifiuti urbani, quali le condizioni di erogazione dei servizi di raccolta, trasporto, spazzamento e lavaggio delle strade e le corrette modalità di conferimento dei rifiuti, ivi incluse </w:t>
      </w:r>
      <w:r w:rsidRPr="00993469">
        <w:rPr>
          <w:rFonts w:ascii="Bookman Old Style" w:hAnsi="Bookman Old Style"/>
          <w:b/>
          <w:color w:val="FF0000"/>
        </w:rPr>
        <w:t>[nel caso di TARI puntuale o comunque di sistemi di raccolta porta a porta]</w:t>
      </w:r>
      <w:r w:rsidRPr="00993469">
        <w:rPr>
          <w:rFonts w:ascii="Bookman Old Style" w:hAnsi="Bookman Old Style"/>
          <w:b/>
        </w:rPr>
        <w:t xml:space="preserve"> le modalità di conferimento dei rifiuti e</w:t>
      </w:r>
      <w:r w:rsidR="00993469">
        <w:rPr>
          <w:rFonts w:ascii="Bookman Old Style" w:hAnsi="Bookman Old Style"/>
          <w:b/>
        </w:rPr>
        <w:t xml:space="preserve">, </w:t>
      </w:r>
      <w:r w:rsidRPr="00993469">
        <w:rPr>
          <w:rFonts w:ascii="Bookman Old Style" w:hAnsi="Bookman Old Style"/>
          <w:b/>
        </w:rPr>
        <w:t>infine</w:t>
      </w:r>
      <w:r w:rsidR="00993469">
        <w:rPr>
          <w:rFonts w:ascii="Bookman Old Style" w:hAnsi="Bookman Old Style"/>
          <w:b/>
        </w:rPr>
        <w:t>,</w:t>
      </w:r>
      <w:r w:rsidRPr="00993469">
        <w:rPr>
          <w:rFonts w:ascii="Bookman Old Style" w:hAnsi="Bookman Old Style"/>
          <w:b/>
        </w:rPr>
        <w:t xml:space="preserve"> le indicazioni per reperire la Carta di qualità. Le informazioni di cui al periodo precedente, possono essere fornite anche attraverso un rimando al sito </w:t>
      </w:r>
      <w:r w:rsidR="00993469">
        <w:rPr>
          <w:rFonts w:ascii="Bookman Old Style" w:hAnsi="Bookman Old Style"/>
          <w:b/>
        </w:rPr>
        <w:t>internet</w:t>
      </w:r>
      <w:r w:rsidRPr="00993469">
        <w:rPr>
          <w:rFonts w:ascii="Bookman Old Style" w:hAnsi="Bookman Old Style"/>
          <w:b/>
        </w:rPr>
        <w:t xml:space="preserve"> del soggetto gestore dei rifiuti.</w:t>
      </w:r>
    </w:p>
    <w:p w14:paraId="15C0C114" w14:textId="262D65B2" w:rsidR="0038349C" w:rsidRPr="00990C74" w:rsidRDefault="00BB67C1" w:rsidP="00BB67C1">
      <w:pPr>
        <w:spacing w:after="40" w:line="257" w:lineRule="auto"/>
        <w:ind w:left="502" w:firstLine="0"/>
        <w:jc w:val="both"/>
        <w:rPr>
          <w:rFonts w:ascii="Bookman Old Style" w:hAnsi="Bookman Old Style"/>
          <w:b/>
        </w:rPr>
      </w:pPr>
      <w:r>
        <w:rPr>
          <w:rFonts w:ascii="Bookman Old Style" w:hAnsi="Bookman Old Style"/>
        </w:rPr>
        <w:t xml:space="preserve">5. </w:t>
      </w:r>
      <w:r w:rsidR="0038349C" w:rsidRPr="00BB67C1">
        <w:rPr>
          <w:rFonts w:ascii="Bookman Old Style" w:hAnsi="Bookman Old Style"/>
        </w:rPr>
        <w:t xml:space="preserve">Ai fini dell’applicazione del tributo la dichiarazione ha effetto anche per gli anni successivi, se le condizioni di assoggettamento a TARI rimangono invariate. In caso contrario il contribuente è tenuto a presentare nuova dichiarazione di variazione nei termini e secondo le modalità di cui ai precedenti commi, fatto salvo il caso in cui, per i soggetti residenti nel Comune, la variazione riguardi soltanto il numero degli stessi. </w:t>
      </w:r>
      <w:r w:rsidR="00A263DB" w:rsidRPr="00C217D6">
        <w:rPr>
          <w:rFonts w:ascii="Bookman Old Style" w:hAnsi="Bookman Old Style"/>
          <w:b/>
          <w:bCs/>
        </w:rPr>
        <w:t xml:space="preserve">All’atto della presentazione della dichiarazione iniziale o di variazione, il Comune rilascia una ricevuta, quale attestazione di presa in carico della </w:t>
      </w:r>
      <w:r w:rsidR="00990C74" w:rsidRPr="00C217D6">
        <w:rPr>
          <w:rFonts w:ascii="Bookman Old Style" w:hAnsi="Bookman Old Style"/>
          <w:b/>
          <w:bCs/>
        </w:rPr>
        <w:t>dichiarazione, equivalente alla richiesta di erogazi</w:t>
      </w:r>
      <w:r w:rsidR="002045FD" w:rsidRPr="00C217D6">
        <w:rPr>
          <w:rFonts w:ascii="Bookman Old Style" w:hAnsi="Bookman Old Style"/>
          <w:b/>
          <w:bCs/>
        </w:rPr>
        <w:t>o</w:t>
      </w:r>
      <w:r w:rsidR="00990C74" w:rsidRPr="00C217D6">
        <w:rPr>
          <w:rFonts w:ascii="Bookman Old Style" w:hAnsi="Bookman Old Style"/>
          <w:b/>
          <w:bCs/>
        </w:rPr>
        <w:t>ne del servizio.</w:t>
      </w:r>
      <w:r w:rsidR="00A263DB" w:rsidRPr="00C217D6">
        <w:rPr>
          <w:rFonts w:ascii="Bookman Old Style" w:hAnsi="Bookman Old Style"/>
          <w:b/>
          <w:bCs/>
        </w:rPr>
        <w:t xml:space="preserve"> </w:t>
      </w:r>
      <w:r w:rsidR="00990C74" w:rsidRPr="00C217D6">
        <w:rPr>
          <w:rFonts w:ascii="Bookman Old Style" w:hAnsi="Bookman Old Style"/>
          <w:b/>
          <w:bCs/>
        </w:rPr>
        <w:t xml:space="preserve">Il Comune comunica al </w:t>
      </w:r>
      <w:r w:rsidR="00F03516" w:rsidRPr="00C217D6">
        <w:rPr>
          <w:rFonts w:ascii="Bookman Old Style" w:hAnsi="Bookman Old Style"/>
          <w:b/>
        </w:rPr>
        <w:t>contribuente</w:t>
      </w:r>
      <w:r w:rsidR="00990C74" w:rsidRPr="00C217D6">
        <w:rPr>
          <w:rFonts w:ascii="Bookman Old Style" w:hAnsi="Bookman Old Style"/>
          <w:b/>
        </w:rPr>
        <w:t xml:space="preserve"> il c</w:t>
      </w:r>
      <w:r w:rsidR="00F03516" w:rsidRPr="00C217D6">
        <w:rPr>
          <w:rFonts w:ascii="Bookman Old Style" w:hAnsi="Bookman Old Style"/>
          <w:b/>
        </w:rPr>
        <w:t>odice utente ed il codice utenza attribuito, la data a partire dalla quale è dovuta la TARI</w:t>
      </w:r>
      <w:r w:rsidR="00990C74" w:rsidRPr="00C217D6">
        <w:rPr>
          <w:rFonts w:ascii="Bookman Old Style" w:hAnsi="Bookman Old Style"/>
          <w:b/>
        </w:rPr>
        <w:t xml:space="preserve">, di norma </w:t>
      </w:r>
      <w:r w:rsidR="003207D4" w:rsidRPr="00C217D6">
        <w:rPr>
          <w:rFonts w:ascii="Bookman Old Style" w:hAnsi="Bookman Old Style"/>
          <w:b/>
        </w:rPr>
        <w:t xml:space="preserve">con il primo avviso di </w:t>
      </w:r>
      <w:r w:rsidR="0057038B" w:rsidRPr="00C217D6">
        <w:rPr>
          <w:rFonts w:ascii="Bookman Old Style" w:hAnsi="Bookman Old Style"/>
          <w:b/>
        </w:rPr>
        <w:t>pagamento</w:t>
      </w:r>
      <w:r w:rsidR="003207D4" w:rsidRPr="00C217D6">
        <w:rPr>
          <w:rFonts w:ascii="Bookman Old Style" w:hAnsi="Bookman Old Style"/>
          <w:b/>
        </w:rPr>
        <w:t xml:space="preserve"> TARI inviato al contribuente </w:t>
      </w:r>
      <w:r w:rsidR="00F03516" w:rsidRPr="00C217D6">
        <w:rPr>
          <w:rFonts w:ascii="Bookman Old Style" w:hAnsi="Bookman Old Style"/>
          <w:b/>
          <w:color w:val="FF0000"/>
        </w:rPr>
        <w:t>[</w:t>
      </w:r>
      <w:r w:rsidR="00F03516">
        <w:rPr>
          <w:rFonts w:ascii="Bookman Old Style" w:hAnsi="Bookman Old Style"/>
          <w:b/>
          <w:color w:val="FF0000"/>
        </w:rPr>
        <w:t>in alternativa:</w:t>
      </w:r>
      <w:r w:rsidR="003207D4" w:rsidRPr="003207D4">
        <w:rPr>
          <w:rFonts w:ascii="Bookman Old Style" w:hAnsi="Bookman Old Style"/>
          <w:b/>
        </w:rPr>
        <w:t xml:space="preserve"> </w:t>
      </w:r>
      <w:r w:rsidR="003207D4" w:rsidRPr="003207D4">
        <w:rPr>
          <w:rFonts w:ascii="Bookman Old Style" w:hAnsi="Bookman Old Style"/>
          <w:b/>
          <w:color w:val="FF0000"/>
        </w:rPr>
        <w:t>La comunicazione è di norma inviata entro trenta giorni lavorativi dalla data di presentazione della richiesta.</w:t>
      </w:r>
      <w:r w:rsidR="00F03516" w:rsidRPr="003207D4">
        <w:rPr>
          <w:rFonts w:ascii="Bookman Old Style" w:hAnsi="Bookman Old Style"/>
          <w:b/>
          <w:color w:val="FF0000"/>
        </w:rPr>
        <w:t>]</w:t>
      </w:r>
      <w:r w:rsidR="003207D4" w:rsidRPr="00D01FB7">
        <w:rPr>
          <w:rStyle w:val="Rimandonotaapidipagina"/>
          <w:rFonts w:ascii="Bookman Old Style" w:hAnsi="Bookman Old Style"/>
          <w:b/>
          <w:sz w:val="20"/>
          <w:szCs w:val="20"/>
          <w:vertAlign w:val="superscript"/>
        </w:rPr>
        <w:footnoteReference w:id="17"/>
      </w:r>
      <w:r w:rsidR="00990C74" w:rsidRPr="00990C74">
        <w:rPr>
          <w:rFonts w:ascii="Bookman Old Style" w:hAnsi="Bookman Old Style"/>
          <w:b/>
        </w:rPr>
        <w:t xml:space="preserve">. </w:t>
      </w:r>
      <w:r w:rsidR="00990C74" w:rsidRPr="00C217D6">
        <w:rPr>
          <w:rFonts w:ascii="Bookman Old Style" w:hAnsi="Bookman Old Style"/>
          <w:b/>
        </w:rPr>
        <w:t>Per l’invio di comunicazioni ed il recapito degli avvisi di pagamento</w:t>
      </w:r>
      <w:r w:rsidR="00C217D6">
        <w:rPr>
          <w:rFonts w:ascii="Bookman Old Style" w:hAnsi="Bookman Old Style"/>
          <w:b/>
        </w:rPr>
        <w:t>,</w:t>
      </w:r>
      <w:r w:rsidR="00990C74" w:rsidRPr="00C217D6">
        <w:rPr>
          <w:rFonts w:ascii="Bookman Old Style" w:hAnsi="Bookman Old Style"/>
          <w:b/>
        </w:rPr>
        <w:t xml:space="preserve"> il Comune, fatte salve le richieste dei contribuenti in relazione alle modalità di recapito da utilizzare, utilizza fonti ufficiali, quali l’indirizzo di residenza anagrafica, il domicilio fiscale, la sede legale risultante nella Camera di Commercio, l’indirizzo risultante dall’anagrafe dei contribuenti (PuntoFisco).</w:t>
      </w:r>
    </w:p>
    <w:p w14:paraId="719E89FC" w14:textId="344E0D8A" w:rsidR="0073438D" w:rsidRDefault="00BB67C1" w:rsidP="0073438D">
      <w:pPr>
        <w:spacing w:after="40" w:line="257" w:lineRule="auto"/>
        <w:ind w:left="502" w:firstLine="0"/>
        <w:jc w:val="both"/>
        <w:rPr>
          <w:rFonts w:ascii="Bookman Old Style" w:hAnsi="Bookman Old Style"/>
        </w:rPr>
      </w:pPr>
      <w:r>
        <w:rPr>
          <w:rFonts w:ascii="Bookman Old Style" w:hAnsi="Bookman Old Style"/>
        </w:rPr>
        <w:t xml:space="preserve">6. </w:t>
      </w:r>
      <w:r w:rsidR="0038349C" w:rsidRPr="00BB67C1">
        <w:rPr>
          <w:rFonts w:ascii="Bookman Old Style" w:hAnsi="Bookman Old Style"/>
        </w:rPr>
        <w:t xml:space="preserve">In caso di decesso dell’intestatario dell’utenza, gli eventuali soggetti </w:t>
      </w:r>
      <w:r w:rsidR="00AD567B">
        <w:rPr>
          <w:rFonts w:ascii="Bookman Old Style" w:hAnsi="Bookman Old Style"/>
        </w:rPr>
        <w:t xml:space="preserve">che </w:t>
      </w:r>
      <w:r w:rsidR="00AD567B" w:rsidRPr="004B723B">
        <w:rPr>
          <w:rFonts w:ascii="Bookman Old Style" w:hAnsi="Bookman Old Style"/>
        </w:rPr>
        <w:t>posseggono, detengono o che continuano</w:t>
      </w:r>
      <w:r w:rsidR="00AD567B">
        <w:rPr>
          <w:rFonts w:ascii="Bookman Old Style" w:hAnsi="Bookman Old Style"/>
        </w:rPr>
        <w:t xml:space="preserve"> </w:t>
      </w:r>
      <w:r w:rsidR="0038349C" w:rsidRPr="00BB67C1">
        <w:rPr>
          <w:rFonts w:ascii="Bookman Old Style" w:hAnsi="Bookman Old Style"/>
        </w:rPr>
        <w:t xml:space="preserve">ad occupare o condurre i locali già assoggettati a Tassa hanno l’obbligo di dichiarare il nominativo del nuovo intestatario dell’utenza e gli eventuali elementi che determinano l’applicazione della Tassa. </w:t>
      </w:r>
    </w:p>
    <w:p w14:paraId="31F516F6" w14:textId="17960730" w:rsidR="0073438D" w:rsidRPr="0073438D" w:rsidRDefault="00BB67C1" w:rsidP="0073438D">
      <w:pPr>
        <w:spacing w:after="40" w:line="257" w:lineRule="auto"/>
        <w:ind w:left="502" w:firstLine="0"/>
        <w:jc w:val="both"/>
        <w:rPr>
          <w:rFonts w:ascii="Bookman Old Style" w:hAnsi="Bookman Old Style"/>
        </w:rPr>
      </w:pPr>
      <w:r>
        <w:rPr>
          <w:rFonts w:ascii="Bookman Old Style" w:hAnsi="Bookman Old Style"/>
        </w:rPr>
        <w:t>7.</w:t>
      </w:r>
      <w:r w:rsidRPr="0073438D">
        <w:rPr>
          <w:rFonts w:ascii="Bookman Old Style" w:hAnsi="Bookman Old Style"/>
        </w:rPr>
        <w:t xml:space="preserve"> </w:t>
      </w:r>
      <w:r w:rsidR="0038349C" w:rsidRPr="0073438D">
        <w:rPr>
          <w:rFonts w:ascii="Bookman Old Style" w:hAnsi="Bookman Old Style"/>
        </w:rPr>
        <w:t>Il Comune</w:t>
      </w:r>
      <w:r w:rsidR="00384CB6" w:rsidRPr="0073438D">
        <w:rPr>
          <w:rFonts w:ascii="Bookman Old Style" w:hAnsi="Bookman Old Style"/>
        </w:rPr>
        <w:t xml:space="preserve"> </w:t>
      </w:r>
      <w:r w:rsidR="00AD567B" w:rsidRPr="004554D0">
        <w:rPr>
          <w:rFonts w:ascii="Bookman Old Style" w:hAnsi="Bookman Old Style"/>
          <w:b/>
          <w:color w:val="FF0000"/>
        </w:rPr>
        <w:t>[o altre ente locale competente]</w:t>
      </w:r>
      <w:r w:rsidR="00AD567B" w:rsidRPr="00D11883">
        <w:rPr>
          <w:rStyle w:val="Rimandonotaapidipagina"/>
          <w:rFonts w:ascii="Bookman Old Style" w:hAnsi="Bookman Old Style"/>
          <w:b/>
          <w:sz w:val="20"/>
          <w:szCs w:val="20"/>
          <w:vertAlign w:val="superscript"/>
        </w:rPr>
        <w:footnoteReference w:id="18"/>
      </w:r>
      <w:r w:rsidR="0038349C" w:rsidRPr="004554D0">
        <w:rPr>
          <w:rFonts w:ascii="Bookman Old Style" w:hAnsi="Bookman Old Style"/>
        </w:rPr>
        <w:t xml:space="preserve">, in occasione di richieste di residenza, rilascio di licenze, autorizzazioni, concessioni (compresi i casi di </w:t>
      </w:r>
      <w:r w:rsidR="0038349C" w:rsidRPr="004554D0">
        <w:rPr>
          <w:rFonts w:ascii="Bookman Old Style" w:hAnsi="Bookman Old Style"/>
        </w:rPr>
        <w:lastRenderedPageBreak/>
        <w:t>presentazione di SCIA di attività produttive), informa gli utenti, ove necessario, della necessità di effettuare congiuntamente la dichiarazione ai fini della gestione della Tassa.</w:t>
      </w:r>
      <w:r w:rsidR="0073438D" w:rsidRPr="004554D0">
        <w:rPr>
          <w:rFonts w:ascii="Bookman Old Style" w:hAnsi="Bookman Old Style"/>
        </w:rPr>
        <w:t xml:space="preserve"> Per le utenze intestate a soggetti residenti nel Comune ed utilizzate quale abitazione principale, il numero degli occupanti è quello risultante dai registri dell’anagrafe generale del Comune. Nel caso di due o più nuclei familiari, conviventi o coabitanti, il numero degli occupanti è quello complessivo. L’intestatario dell’utenza è tenuto a dichiarare gli ulteriori occupanti non residenti, che si aggiungono al numero complessivo</w:t>
      </w:r>
    </w:p>
    <w:p w14:paraId="4AAB4085" w14:textId="1CD399F0" w:rsidR="0038349C" w:rsidRPr="0038349C" w:rsidRDefault="00BB67C1" w:rsidP="0038349C">
      <w:pPr>
        <w:spacing w:after="40" w:line="257" w:lineRule="auto"/>
        <w:ind w:left="502" w:firstLine="0"/>
        <w:jc w:val="both"/>
        <w:rPr>
          <w:rFonts w:ascii="Bookman Old Style" w:hAnsi="Bookman Old Style"/>
        </w:rPr>
      </w:pPr>
      <w:r>
        <w:rPr>
          <w:rFonts w:ascii="Bookman Old Style" w:hAnsi="Bookman Old Style"/>
        </w:rPr>
        <w:t>8</w:t>
      </w:r>
      <w:r w:rsidR="00571627">
        <w:rPr>
          <w:rFonts w:ascii="Bookman Old Style" w:hAnsi="Bookman Old Style"/>
        </w:rPr>
        <w:t xml:space="preserve">. </w:t>
      </w:r>
      <w:r w:rsidR="0038349C" w:rsidRPr="0038349C">
        <w:rPr>
          <w:rFonts w:ascii="Bookman Old Style" w:hAnsi="Bookman Old Style"/>
        </w:rPr>
        <w:t xml:space="preserve">In presenza di utenza domestica e utenza non domestica con servizi condominiali è fatto obbligo all’amministratore condominiale di presentare al Comune, nei termini di cui al comma </w:t>
      </w:r>
      <w:r w:rsidR="00820D1B">
        <w:rPr>
          <w:rFonts w:ascii="Bookman Old Style" w:hAnsi="Bookman Old Style"/>
        </w:rPr>
        <w:t>3</w:t>
      </w:r>
      <w:r w:rsidR="0038349C" w:rsidRPr="0038349C">
        <w:rPr>
          <w:rFonts w:ascii="Bookman Old Style" w:hAnsi="Bookman Old Style"/>
        </w:rPr>
        <w:t>, l’elenco degli occupanti o conduttori/proprietari delle utenze facenti parte del condominio e le eventuali successive variazioni.</w:t>
      </w:r>
    </w:p>
    <w:p w14:paraId="26D7102D" w14:textId="5C08E4B2" w:rsidR="0038349C" w:rsidRPr="0038349C" w:rsidRDefault="00BB67C1" w:rsidP="0038349C">
      <w:pPr>
        <w:spacing w:after="40" w:line="257" w:lineRule="auto"/>
        <w:ind w:left="502" w:firstLine="0"/>
        <w:jc w:val="both"/>
        <w:rPr>
          <w:rFonts w:ascii="Bookman Old Style" w:hAnsi="Bookman Old Style"/>
        </w:rPr>
      </w:pPr>
      <w:r>
        <w:rPr>
          <w:rFonts w:ascii="Bookman Old Style" w:hAnsi="Bookman Old Style"/>
        </w:rPr>
        <w:t>9</w:t>
      </w:r>
      <w:r w:rsidR="00571627">
        <w:rPr>
          <w:rFonts w:ascii="Bookman Old Style" w:hAnsi="Bookman Old Style"/>
        </w:rPr>
        <w:t xml:space="preserve">. </w:t>
      </w:r>
      <w:r w:rsidR="0038349C" w:rsidRPr="0038349C">
        <w:rPr>
          <w:rFonts w:ascii="Bookman Old Style" w:hAnsi="Bookman Old Style"/>
        </w:rPr>
        <w:t>In presenza di più nuclei familiari presso la stessa utenza colui che intende provvedere al pagamento della Tassa deve indicarlo nella dichiarazione.</w:t>
      </w:r>
    </w:p>
    <w:p w14:paraId="23944A5E" w14:textId="3D8DFF78" w:rsidR="0038349C" w:rsidRPr="0038349C" w:rsidRDefault="00BB67C1" w:rsidP="0038349C">
      <w:pPr>
        <w:spacing w:after="40" w:line="257" w:lineRule="auto"/>
        <w:ind w:left="502" w:firstLine="0"/>
        <w:jc w:val="both"/>
        <w:rPr>
          <w:rFonts w:ascii="Bookman Old Style" w:hAnsi="Bookman Old Style"/>
        </w:rPr>
      </w:pPr>
      <w:r>
        <w:rPr>
          <w:rFonts w:ascii="Bookman Old Style" w:hAnsi="Bookman Old Style"/>
        </w:rPr>
        <w:t>10</w:t>
      </w:r>
      <w:r w:rsidR="00571627">
        <w:rPr>
          <w:rFonts w:ascii="Bookman Old Style" w:hAnsi="Bookman Old Style"/>
        </w:rPr>
        <w:t xml:space="preserve">. </w:t>
      </w:r>
      <w:r w:rsidR="0038349C" w:rsidRPr="0038349C">
        <w:rPr>
          <w:rFonts w:ascii="Bookman Old Style" w:hAnsi="Bookman Old Style"/>
        </w:rPr>
        <w:t>La cessazione dell’occupazione/detenzione/possesso dei locali e delle aree deve essere comprovata a mezzo di idonea documentazione (ad esempio copia risoluzione contratto di locazione, copia ultima bolletta di conguaglio delle utenze di rete, copia verbale di riconsegna immobile, ricevuta restituzione dei contenitori dotati di TAG ecc.).</w:t>
      </w:r>
    </w:p>
    <w:p w14:paraId="0AF5BE96" w14:textId="064B60C0" w:rsidR="0038349C" w:rsidRPr="0038349C" w:rsidRDefault="0038349C" w:rsidP="0038349C">
      <w:pPr>
        <w:spacing w:after="40" w:line="257" w:lineRule="auto"/>
        <w:ind w:left="502" w:firstLine="0"/>
        <w:jc w:val="both"/>
        <w:rPr>
          <w:rFonts w:ascii="Bookman Old Style" w:hAnsi="Bookman Old Style"/>
        </w:rPr>
      </w:pPr>
      <w:r w:rsidRPr="0038349C">
        <w:rPr>
          <w:rFonts w:ascii="Bookman Old Style" w:hAnsi="Bookman Old Style"/>
        </w:rPr>
        <w:t>1</w:t>
      </w:r>
      <w:r w:rsidR="00BB67C1">
        <w:rPr>
          <w:rFonts w:ascii="Bookman Old Style" w:hAnsi="Bookman Old Style"/>
        </w:rPr>
        <w:t>1</w:t>
      </w:r>
      <w:r w:rsidR="00571627">
        <w:rPr>
          <w:rFonts w:ascii="Bookman Old Style" w:hAnsi="Bookman Old Style"/>
        </w:rPr>
        <w:t xml:space="preserve">. </w:t>
      </w:r>
      <w:r w:rsidRPr="0057038B">
        <w:rPr>
          <w:rFonts w:ascii="Bookman Old Style" w:hAnsi="Bookman Old Style"/>
          <w:b/>
        </w:rPr>
        <w:t xml:space="preserve">Le richieste di cessazione del servizio producono i loro effetti dalla data in cui è intervenuta la cessazione se la relativa richiesta è presentata entro il termine di cui al comma </w:t>
      </w:r>
      <w:r w:rsidR="00820D1B">
        <w:rPr>
          <w:rFonts w:ascii="Bookman Old Style" w:hAnsi="Bookman Old Style"/>
          <w:b/>
        </w:rPr>
        <w:t>3</w:t>
      </w:r>
      <w:r w:rsidRPr="0057038B">
        <w:rPr>
          <w:rFonts w:ascii="Bookman Old Style" w:hAnsi="Bookman Old Style"/>
          <w:b/>
        </w:rPr>
        <w:t>, ovvero dalla data di presentazione della richiesta se successiva a tale termine.</w:t>
      </w:r>
      <w:r w:rsidRPr="0038349C">
        <w:rPr>
          <w:rFonts w:ascii="Bookman Old Style" w:hAnsi="Bookman Old Style"/>
        </w:rPr>
        <w:t xml:space="preserve"> </w:t>
      </w:r>
    </w:p>
    <w:p w14:paraId="109D2A15" w14:textId="58BA9146" w:rsidR="0038349C" w:rsidRDefault="0038349C" w:rsidP="0038349C">
      <w:pPr>
        <w:spacing w:after="40" w:line="257" w:lineRule="auto"/>
        <w:ind w:left="502" w:firstLine="0"/>
        <w:jc w:val="both"/>
        <w:rPr>
          <w:rFonts w:ascii="Bookman Old Style" w:hAnsi="Bookman Old Style"/>
        </w:rPr>
      </w:pPr>
      <w:r w:rsidRPr="0038349C">
        <w:rPr>
          <w:rFonts w:ascii="Bookman Old Style" w:hAnsi="Bookman Old Style"/>
        </w:rPr>
        <w:t>1</w:t>
      </w:r>
      <w:r w:rsidR="00BB67C1">
        <w:rPr>
          <w:rFonts w:ascii="Bookman Old Style" w:hAnsi="Bookman Old Style"/>
        </w:rPr>
        <w:t>2</w:t>
      </w:r>
      <w:r w:rsidR="00571627">
        <w:rPr>
          <w:rFonts w:ascii="Bookman Old Style" w:hAnsi="Bookman Old Style"/>
        </w:rPr>
        <w:t xml:space="preserve">. </w:t>
      </w:r>
      <w:r w:rsidRPr="0057038B">
        <w:rPr>
          <w:rFonts w:ascii="Bookman Old Style" w:hAnsi="Bookman Old Style"/>
          <w:b/>
        </w:rPr>
        <w:t xml:space="preserve">Le richieste di variazione del servizio che comportano una riduzione dell’importo da addebitare al contribuente producono i loro effetti dalla data in cui è intervenuta la variazione se la relativa richiesta è presentata entro il termine di cui al comma </w:t>
      </w:r>
      <w:r w:rsidR="00820D1B">
        <w:rPr>
          <w:rFonts w:ascii="Bookman Old Style" w:hAnsi="Bookman Old Style"/>
          <w:b/>
        </w:rPr>
        <w:t>3</w:t>
      </w:r>
      <w:r w:rsidRPr="0057038B">
        <w:rPr>
          <w:rFonts w:ascii="Bookman Old Style" w:hAnsi="Bookman Old Style"/>
          <w:b/>
        </w:rPr>
        <w:t>, ovvero dalla data di presentazione della richiesta se successiva a tale termine. Diversamente, le richieste di variazione che comportano un incremento dell’importo da addebitare all’utente producono sempre i loro effetti dalla data in cui è intervenuta la variazione</w:t>
      </w:r>
      <w:r w:rsidRPr="0038349C">
        <w:rPr>
          <w:rFonts w:ascii="Bookman Old Style" w:hAnsi="Bookman Old Style"/>
        </w:rPr>
        <w:t xml:space="preserve">. </w:t>
      </w:r>
    </w:p>
    <w:p w14:paraId="34207928" w14:textId="77777777" w:rsidR="00571627" w:rsidRDefault="00571627" w:rsidP="0038349C">
      <w:pPr>
        <w:spacing w:after="40" w:line="257" w:lineRule="auto"/>
        <w:ind w:left="502" w:firstLine="0"/>
        <w:jc w:val="both"/>
        <w:rPr>
          <w:rFonts w:ascii="Bookman Old Style" w:hAnsi="Bookman Old Style"/>
          <w:b/>
        </w:rPr>
      </w:pPr>
      <w:r>
        <w:rPr>
          <w:rFonts w:ascii="Bookman Old Style" w:hAnsi="Bookman Old Style"/>
        </w:rPr>
        <w:t xml:space="preserve">13. </w:t>
      </w:r>
      <w:r w:rsidRPr="00571627">
        <w:rPr>
          <w:rFonts w:ascii="Bookman Old Style" w:hAnsi="Bookman Old Style"/>
          <w:b/>
        </w:rPr>
        <w:t>Nel caso di presentazione di dichiarazione di variazione o cessazione, fermo restando gli effetti ai fini dell’applicazione della TARI, così come disciplinati nei precedenti commi 11 e 12, il Comune</w:t>
      </w:r>
      <w:r>
        <w:rPr>
          <w:rFonts w:ascii="Bookman Old Style" w:hAnsi="Bookman Old Style"/>
        </w:rPr>
        <w:t xml:space="preserve"> </w:t>
      </w:r>
      <w:r w:rsidRPr="00F03516">
        <w:rPr>
          <w:rFonts w:ascii="Bookman Old Style" w:hAnsi="Bookman Old Style"/>
          <w:b/>
        </w:rPr>
        <w:t xml:space="preserve">invia al contribuente una comunicazione di presa in carico della dichiarazione, </w:t>
      </w:r>
      <w:r>
        <w:rPr>
          <w:rFonts w:ascii="Bookman Old Style" w:hAnsi="Bookman Old Style"/>
          <w:b/>
        </w:rPr>
        <w:t>ai sensi del precedente comma 5.</w:t>
      </w:r>
    </w:p>
    <w:p w14:paraId="786413D5" w14:textId="11B057B1" w:rsidR="0038349C" w:rsidRDefault="0038349C" w:rsidP="0038349C">
      <w:pPr>
        <w:spacing w:after="40" w:line="257" w:lineRule="auto"/>
        <w:ind w:left="502" w:firstLine="0"/>
        <w:jc w:val="both"/>
        <w:rPr>
          <w:rFonts w:ascii="Bookman Old Style" w:hAnsi="Bookman Old Style"/>
        </w:rPr>
      </w:pPr>
      <w:r w:rsidRPr="0038349C">
        <w:rPr>
          <w:rFonts w:ascii="Bookman Old Style" w:hAnsi="Bookman Old Style"/>
        </w:rPr>
        <w:t>1</w:t>
      </w:r>
      <w:r w:rsidR="00571627">
        <w:rPr>
          <w:rFonts w:ascii="Bookman Old Style" w:hAnsi="Bookman Old Style"/>
        </w:rPr>
        <w:t xml:space="preserve">4. </w:t>
      </w:r>
      <w:r w:rsidRPr="0038349C">
        <w:rPr>
          <w:rFonts w:ascii="Bookman Old Style" w:hAnsi="Bookman Old Style"/>
        </w:rPr>
        <w:t>In deroga a quanto disposto dal comma 1</w:t>
      </w:r>
      <w:r w:rsidR="0057038B">
        <w:rPr>
          <w:rFonts w:ascii="Bookman Old Style" w:hAnsi="Bookman Old Style"/>
        </w:rPr>
        <w:t>2</w:t>
      </w:r>
      <w:r w:rsidRPr="0038349C">
        <w:rPr>
          <w:rFonts w:ascii="Bookman Old Style" w:hAnsi="Bookman Old Style"/>
        </w:rPr>
        <w:t>, gli effetti delle richieste di variazione di cui all’articolo 238, comma 10, del d. lgs. n. 152/2006, decorrono dal 1° gennaio dell’anno successivo a quello della comunicazione</w:t>
      </w:r>
      <w:r w:rsidR="0057038B">
        <w:rPr>
          <w:rFonts w:ascii="Bookman Old Style" w:hAnsi="Bookman Old Style"/>
        </w:rPr>
        <w:t>.</w:t>
      </w:r>
    </w:p>
    <w:p w14:paraId="6C21A6EE" w14:textId="77777777" w:rsidR="00BB67C1" w:rsidRDefault="00BB67C1" w:rsidP="0038349C">
      <w:pPr>
        <w:spacing w:after="40" w:line="257" w:lineRule="auto"/>
        <w:ind w:left="502" w:firstLine="0"/>
        <w:jc w:val="both"/>
        <w:rPr>
          <w:rFonts w:ascii="Bookman Old Style" w:hAnsi="Bookman Old Style"/>
        </w:rPr>
      </w:pPr>
    </w:p>
    <w:p w14:paraId="177FF3B4" w14:textId="2F15B7B7" w:rsidR="001A26C4" w:rsidRDefault="001A26C4">
      <w:pPr>
        <w:spacing w:after="40" w:line="276" w:lineRule="auto"/>
        <w:ind w:firstLine="0"/>
        <w:rPr>
          <w:rFonts w:ascii="Bookman Old Style" w:hAnsi="Bookman Old Style"/>
        </w:rPr>
      </w:pPr>
      <w:r>
        <w:rPr>
          <w:rFonts w:ascii="Bookman Old Style" w:hAnsi="Bookman Old Style"/>
        </w:rPr>
        <w:br w:type="page"/>
      </w:r>
    </w:p>
    <w:p w14:paraId="6F35B5EE" w14:textId="77777777" w:rsidR="00147AE8" w:rsidRDefault="00147AE8" w:rsidP="00147AE8">
      <w:pPr>
        <w:spacing w:after="40" w:line="257" w:lineRule="auto"/>
        <w:ind w:left="502" w:firstLine="0"/>
        <w:jc w:val="both"/>
        <w:rPr>
          <w:rFonts w:ascii="Bookman Old Style" w:hAnsi="Bookman Old Style"/>
        </w:rPr>
      </w:pPr>
    </w:p>
    <w:p w14:paraId="22B4F61E" w14:textId="5613647C" w:rsidR="00147AE8" w:rsidRPr="00C712F6" w:rsidRDefault="00147AE8" w:rsidP="00C712F6">
      <w:pPr>
        <w:pStyle w:val="Titolo2"/>
        <w:jc w:val="both"/>
        <w:rPr>
          <w:rFonts w:ascii="Bookman Old Style" w:hAnsi="Bookman Old Style"/>
          <w:sz w:val="22"/>
          <w:szCs w:val="22"/>
        </w:rPr>
      </w:pPr>
      <w:bookmarkStart w:id="8" w:name="_Toc121591188"/>
      <w:r w:rsidRPr="00C712F6">
        <w:rPr>
          <w:rFonts w:ascii="Bookman Old Style" w:hAnsi="Bookman Old Style"/>
          <w:sz w:val="22"/>
          <w:szCs w:val="22"/>
        </w:rPr>
        <w:t>Articolo X2 –</w:t>
      </w:r>
      <w:r w:rsidR="00E82019" w:rsidRPr="00C712F6">
        <w:rPr>
          <w:rFonts w:ascii="Bookman Old Style" w:hAnsi="Bookman Old Style"/>
          <w:sz w:val="22"/>
          <w:szCs w:val="22"/>
        </w:rPr>
        <w:t>Reclami e richieste scritte di informazioni e di rettifica degli importi addebitati</w:t>
      </w:r>
      <w:bookmarkEnd w:id="8"/>
    </w:p>
    <w:p w14:paraId="13529972" w14:textId="77777777" w:rsidR="00147AE8" w:rsidRDefault="00147AE8" w:rsidP="00147AE8">
      <w:pPr>
        <w:shd w:val="clear" w:color="auto" w:fill="EEECE1" w:themeFill="background2"/>
        <w:ind w:firstLine="0"/>
        <w:jc w:val="both"/>
        <w:rPr>
          <w:rFonts w:ascii="Bookman Old Style" w:hAnsi="Bookman Old Style"/>
          <w:i/>
          <w:iCs/>
          <w:color w:val="000000" w:themeColor="text1"/>
        </w:rPr>
      </w:pPr>
      <w:r w:rsidRPr="00D2465D">
        <w:rPr>
          <w:rFonts w:ascii="Bookman Old Style" w:hAnsi="Bookman Old Style"/>
          <w:i/>
          <w:iCs/>
          <w:color w:val="000000" w:themeColor="text1"/>
        </w:rPr>
        <w:t>In que</w:t>
      </w:r>
      <w:r>
        <w:rPr>
          <w:rFonts w:ascii="Bookman Old Style" w:hAnsi="Bookman Old Style"/>
          <w:i/>
          <w:iCs/>
          <w:color w:val="000000" w:themeColor="text1"/>
        </w:rPr>
        <w:t>sto articolo viene regolamentato l’ambito dei reclami e delle richieste di rettifica degli importi addebitati, di cui al titolo III del TQRIF, con riferimento solo alle attività tipicamente svolte dall’Ufficio tributi del Comune. Per quanto riguarda i reclami afferenti allo svolgimento del servizio rifiuti, quali spazzamento o raccolta, è possibile rinviare al gestore delle suddette attività, per quanto previsto dall’art. 2, comma 4, del TQRIF. Il rinvio può essere operato anche direttamente alla Carta della qualità.</w:t>
      </w:r>
    </w:p>
    <w:p w14:paraId="62D554E6" w14:textId="77777777" w:rsidR="00147AE8" w:rsidRDefault="00147AE8" w:rsidP="00147AE8">
      <w:pPr>
        <w:pStyle w:val="Paragrafoelenco"/>
        <w:ind w:left="0" w:firstLine="0"/>
        <w:jc w:val="both"/>
        <w:rPr>
          <w:rFonts w:ascii="Bookman Old Style" w:hAnsi="Bookman Old Style"/>
        </w:rPr>
      </w:pPr>
    </w:p>
    <w:p w14:paraId="2D26D505" w14:textId="77777777" w:rsidR="00147AE8" w:rsidRPr="0035031F" w:rsidRDefault="00147AE8" w:rsidP="00147AE8">
      <w:pPr>
        <w:spacing w:after="40" w:line="257" w:lineRule="auto"/>
        <w:ind w:left="502" w:firstLine="0"/>
        <w:jc w:val="both"/>
        <w:rPr>
          <w:rFonts w:ascii="Bookman Old Style" w:hAnsi="Bookman Old Style"/>
          <w:b/>
          <w:bCs/>
        </w:rPr>
      </w:pPr>
      <w:r w:rsidRPr="0035031F">
        <w:rPr>
          <w:rFonts w:ascii="Bookman Old Style" w:hAnsi="Bookman Old Style"/>
          <w:b/>
          <w:bCs/>
        </w:rPr>
        <w:t xml:space="preserve">1. Il contribuente può presentare all’Ufficio TARI del Comune, nelle forme previste per la presentazione della dichiarazione TARI di cui all’articolo X1, una richiesta di informazione, un reclamo scritto o una richiesta di rettifica degli importi pretesi con l’avviso bonario di cui all’art. XY. </w:t>
      </w:r>
    </w:p>
    <w:p w14:paraId="45C6F603" w14:textId="77777777" w:rsidR="00147AE8" w:rsidRPr="0035031F" w:rsidRDefault="00147AE8" w:rsidP="00147AE8">
      <w:pPr>
        <w:spacing w:after="40" w:line="257" w:lineRule="auto"/>
        <w:ind w:left="502" w:firstLine="0"/>
        <w:jc w:val="both"/>
        <w:rPr>
          <w:rFonts w:ascii="Bookman Old Style" w:hAnsi="Bookman Old Style"/>
          <w:b/>
          <w:bCs/>
        </w:rPr>
      </w:pPr>
      <w:r w:rsidRPr="0035031F">
        <w:rPr>
          <w:rFonts w:ascii="Bookman Old Style" w:hAnsi="Bookman Old Style"/>
          <w:b/>
          <w:bCs/>
        </w:rPr>
        <w:t>2. Il Comune predispone specifica modulistica, disponibile presso l’Ufficio TARI e scaricabile dal sito web comunale. Il modulo per il reclamo scritto contiene almeno i seguenti campi:</w:t>
      </w:r>
    </w:p>
    <w:p w14:paraId="7CD898B8" w14:textId="77777777" w:rsidR="00147AE8" w:rsidRPr="0035031F" w:rsidRDefault="00147AE8" w:rsidP="00147AE8">
      <w:pPr>
        <w:spacing w:after="40" w:line="257" w:lineRule="auto"/>
        <w:ind w:left="502" w:firstLine="0"/>
        <w:jc w:val="both"/>
        <w:rPr>
          <w:rFonts w:ascii="Bookman Old Style" w:hAnsi="Bookman Old Style"/>
          <w:b/>
          <w:bCs/>
        </w:rPr>
      </w:pPr>
      <w:r w:rsidRPr="0035031F">
        <w:rPr>
          <w:rFonts w:ascii="Bookman Old Style" w:hAnsi="Bookman Old Style"/>
          <w:b/>
          <w:bCs/>
        </w:rPr>
        <w:t>a)</w:t>
      </w:r>
      <w:r w:rsidRPr="0035031F">
        <w:rPr>
          <w:rFonts w:ascii="Bookman Old Style" w:hAnsi="Bookman Old Style"/>
          <w:b/>
          <w:bCs/>
        </w:rPr>
        <w:tab/>
        <w:t>il recapito postale, di posta elettronica o fax al quale inviare il reclamo;</w:t>
      </w:r>
    </w:p>
    <w:p w14:paraId="1C67BD90" w14:textId="5F3B01A7" w:rsidR="00147AE8" w:rsidRPr="00112D95" w:rsidRDefault="00147AE8" w:rsidP="00147AE8">
      <w:pPr>
        <w:spacing w:after="40" w:line="257" w:lineRule="auto"/>
        <w:ind w:left="502" w:firstLine="0"/>
        <w:jc w:val="both"/>
        <w:rPr>
          <w:rFonts w:ascii="Bookman Old Style" w:hAnsi="Bookman Old Style"/>
          <w:b/>
          <w:bCs/>
        </w:rPr>
      </w:pPr>
      <w:r w:rsidRPr="0035031F">
        <w:rPr>
          <w:rFonts w:ascii="Bookman Old Style" w:hAnsi="Bookman Old Style"/>
          <w:b/>
          <w:bCs/>
        </w:rPr>
        <w:t>b)</w:t>
      </w:r>
      <w:r w:rsidRPr="0035031F">
        <w:rPr>
          <w:rFonts w:ascii="Bookman Old Style" w:hAnsi="Bookman Old Style"/>
          <w:b/>
          <w:bCs/>
        </w:rPr>
        <w:tab/>
        <w:t xml:space="preserve">i dati </w:t>
      </w:r>
      <w:r w:rsidRPr="00112D95">
        <w:rPr>
          <w:rFonts w:ascii="Bookman Old Style" w:hAnsi="Bookman Old Style"/>
          <w:b/>
          <w:bCs/>
        </w:rPr>
        <w:t xml:space="preserve">identificativi </w:t>
      </w:r>
      <w:r w:rsidR="00C451A9" w:rsidRPr="00112D95">
        <w:rPr>
          <w:rFonts w:ascii="Bookman Old Style" w:hAnsi="Bookman Old Style"/>
          <w:b/>
          <w:bCs/>
        </w:rPr>
        <w:t>del contribuente</w:t>
      </w:r>
      <w:r w:rsidRPr="00112D95">
        <w:rPr>
          <w:rFonts w:ascii="Bookman Old Style" w:hAnsi="Bookman Old Style"/>
          <w:b/>
          <w:bCs/>
        </w:rPr>
        <w:t>:</w:t>
      </w:r>
    </w:p>
    <w:p w14:paraId="0F071EC4" w14:textId="09CBFA05" w:rsidR="00C451A9" w:rsidRPr="00112D95" w:rsidRDefault="00147AE8" w:rsidP="00C451A9">
      <w:pPr>
        <w:spacing w:after="40" w:line="257" w:lineRule="auto"/>
        <w:ind w:left="502" w:firstLine="0"/>
        <w:jc w:val="both"/>
        <w:rPr>
          <w:rFonts w:ascii="Bookman Old Style" w:hAnsi="Bookman Old Style"/>
          <w:b/>
          <w:bCs/>
        </w:rPr>
      </w:pPr>
      <w:r w:rsidRPr="00112D95">
        <w:rPr>
          <w:rFonts w:ascii="Bookman Old Style" w:hAnsi="Bookman Old Style"/>
          <w:b/>
          <w:bCs/>
        </w:rPr>
        <w:t>-</w:t>
      </w:r>
      <w:r w:rsidRPr="00112D95">
        <w:rPr>
          <w:rFonts w:ascii="Bookman Old Style" w:hAnsi="Bookman Old Style"/>
          <w:b/>
          <w:bCs/>
        </w:rPr>
        <w:tab/>
        <w:t>il nome, il cognome e il codice fiscale;</w:t>
      </w:r>
    </w:p>
    <w:p w14:paraId="0932CA33" w14:textId="4D029B3B" w:rsidR="00C451A9" w:rsidRDefault="00C451A9" w:rsidP="00C451A9">
      <w:pPr>
        <w:spacing w:after="40" w:line="257" w:lineRule="auto"/>
        <w:ind w:left="502" w:firstLine="0"/>
        <w:jc w:val="both"/>
        <w:rPr>
          <w:rFonts w:ascii="Bookman Old Style" w:hAnsi="Bookman Old Style"/>
          <w:b/>
          <w:bCs/>
        </w:rPr>
      </w:pPr>
      <w:r w:rsidRPr="00112D95">
        <w:rPr>
          <w:rFonts w:ascii="Bookman Old Style" w:hAnsi="Bookman Old Style"/>
          <w:b/>
          <w:bCs/>
        </w:rPr>
        <w:t>-</w:t>
      </w:r>
      <w:r w:rsidRPr="00112D95">
        <w:rPr>
          <w:rFonts w:ascii="Bookman Old Style" w:hAnsi="Bookman Old Style"/>
          <w:b/>
          <w:bCs/>
        </w:rPr>
        <w:tab/>
        <w:t>la ragione o denominazione sociale dell’utenza non domestica, con l’indicazione delle generalità della persona fisica che presenta il reclamo;</w:t>
      </w:r>
    </w:p>
    <w:p w14:paraId="74AF40D8" w14:textId="77777777" w:rsidR="00147AE8" w:rsidRPr="0035031F" w:rsidRDefault="00147AE8" w:rsidP="00147AE8">
      <w:pPr>
        <w:spacing w:after="40" w:line="257" w:lineRule="auto"/>
        <w:ind w:left="502" w:firstLine="0"/>
        <w:jc w:val="both"/>
        <w:rPr>
          <w:rFonts w:ascii="Bookman Old Style" w:hAnsi="Bookman Old Style"/>
          <w:b/>
          <w:bCs/>
        </w:rPr>
      </w:pPr>
      <w:r w:rsidRPr="0035031F">
        <w:rPr>
          <w:rFonts w:ascii="Bookman Old Style" w:hAnsi="Bookman Old Style"/>
          <w:b/>
          <w:bCs/>
        </w:rPr>
        <w:t>-</w:t>
      </w:r>
      <w:r w:rsidRPr="0035031F">
        <w:rPr>
          <w:rFonts w:ascii="Bookman Old Style" w:hAnsi="Bookman Old Style"/>
          <w:b/>
          <w:bCs/>
        </w:rPr>
        <w:tab/>
        <w:t>il recapito postale e/o l’indirizzo di posta elettronica;</w:t>
      </w:r>
    </w:p>
    <w:p w14:paraId="0257983B" w14:textId="77777777" w:rsidR="00147AE8" w:rsidRPr="0035031F" w:rsidRDefault="00147AE8" w:rsidP="00147AE8">
      <w:pPr>
        <w:spacing w:after="40" w:line="257" w:lineRule="auto"/>
        <w:ind w:left="502" w:firstLine="0"/>
        <w:jc w:val="both"/>
        <w:rPr>
          <w:rFonts w:ascii="Bookman Old Style" w:hAnsi="Bookman Old Style"/>
          <w:b/>
          <w:bCs/>
        </w:rPr>
      </w:pPr>
      <w:r w:rsidRPr="0035031F">
        <w:rPr>
          <w:rFonts w:ascii="Bookman Old Style" w:hAnsi="Bookman Old Style"/>
          <w:b/>
          <w:bCs/>
        </w:rPr>
        <w:t>-</w:t>
      </w:r>
      <w:r w:rsidRPr="0035031F">
        <w:rPr>
          <w:rFonts w:ascii="Bookman Old Style" w:hAnsi="Bookman Old Style"/>
          <w:b/>
          <w:bCs/>
        </w:rPr>
        <w:tab/>
        <w:t>il servizio a cui si riferisce il reclamo (gestione delle tariffe e rapporto con gli utenti);</w:t>
      </w:r>
    </w:p>
    <w:p w14:paraId="7577C95A" w14:textId="77777777" w:rsidR="00147AE8" w:rsidRPr="0035031F" w:rsidRDefault="00147AE8" w:rsidP="00147AE8">
      <w:pPr>
        <w:spacing w:after="40" w:line="257" w:lineRule="auto"/>
        <w:ind w:left="502" w:firstLine="0"/>
        <w:jc w:val="both"/>
        <w:rPr>
          <w:rFonts w:ascii="Bookman Old Style" w:hAnsi="Bookman Old Style"/>
          <w:b/>
          <w:bCs/>
        </w:rPr>
      </w:pPr>
      <w:r w:rsidRPr="0035031F">
        <w:rPr>
          <w:rFonts w:ascii="Bookman Old Style" w:hAnsi="Bookman Old Style"/>
          <w:b/>
          <w:bCs/>
        </w:rPr>
        <w:t>-</w:t>
      </w:r>
      <w:r w:rsidRPr="0035031F">
        <w:rPr>
          <w:rFonts w:ascii="Bookman Old Style" w:hAnsi="Bookman Old Style"/>
          <w:b/>
          <w:bCs/>
        </w:rPr>
        <w:tab/>
        <w:t>il codice utente, indicando dove è possibile reperirlo;</w:t>
      </w:r>
    </w:p>
    <w:p w14:paraId="0F746B33" w14:textId="77777777" w:rsidR="00147AE8" w:rsidRPr="0035031F" w:rsidRDefault="00147AE8" w:rsidP="00147AE8">
      <w:pPr>
        <w:spacing w:after="40" w:line="257" w:lineRule="auto"/>
        <w:ind w:left="502" w:firstLine="0"/>
        <w:jc w:val="both"/>
        <w:rPr>
          <w:rFonts w:ascii="Bookman Old Style" w:hAnsi="Bookman Old Style"/>
          <w:b/>
          <w:bCs/>
        </w:rPr>
      </w:pPr>
      <w:r w:rsidRPr="0035031F">
        <w:rPr>
          <w:rFonts w:ascii="Bookman Old Style" w:hAnsi="Bookman Old Style"/>
          <w:b/>
          <w:bCs/>
        </w:rPr>
        <w:t>-</w:t>
      </w:r>
      <w:r w:rsidRPr="0035031F">
        <w:rPr>
          <w:rFonts w:ascii="Bookman Old Style" w:hAnsi="Bookman Old Style"/>
          <w:b/>
          <w:bCs/>
        </w:rPr>
        <w:tab/>
        <w:t>l’indirizzo e il codice utenza, indicando dove è possibile reperirlo;</w:t>
      </w:r>
    </w:p>
    <w:p w14:paraId="0041447F" w14:textId="77777777" w:rsidR="00147AE8" w:rsidRPr="0035031F" w:rsidRDefault="00147AE8" w:rsidP="00147AE8">
      <w:pPr>
        <w:spacing w:after="40" w:line="257" w:lineRule="auto"/>
        <w:ind w:left="502" w:firstLine="0"/>
        <w:jc w:val="both"/>
        <w:rPr>
          <w:rFonts w:ascii="Bookman Old Style" w:hAnsi="Bookman Old Style"/>
          <w:b/>
          <w:bCs/>
        </w:rPr>
      </w:pPr>
      <w:r w:rsidRPr="0035031F">
        <w:rPr>
          <w:rFonts w:ascii="Bookman Old Style" w:hAnsi="Bookman Old Style"/>
          <w:b/>
          <w:bCs/>
        </w:rPr>
        <w:t>-</w:t>
      </w:r>
      <w:r w:rsidRPr="0035031F">
        <w:rPr>
          <w:rFonts w:ascii="Bookman Old Style" w:hAnsi="Bookman Old Style"/>
          <w:b/>
          <w:bCs/>
        </w:rPr>
        <w:tab/>
        <w:t>le coordinate bancarie/postali per l’eventuale accredito degli importi addebitati.</w:t>
      </w:r>
    </w:p>
    <w:p w14:paraId="62ED5BC1" w14:textId="77777777" w:rsidR="00147AE8" w:rsidRPr="0035031F" w:rsidRDefault="00147AE8" w:rsidP="00147AE8">
      <w:pPr>
        <w:spacing w:after="40" w:line="257" w:lineRule="auto"/>
        <w:ind w:left="502" w:firstLine="0"/>
        <w:jc w:val="both"/>
        <w:rPr>
          <w:rFonts w:ascii="Bookman Old Style" w:hAnsi="Bookman Old Style"/>
          <w:b/>
          <w:bCs/>
        </w:rPr>
      </w:pPr>
      <w:r w:rsidRPr="0035031F">
        <w:rPr>
          <w:rFonts w:ascii="Bookman Old Style" w:hAnsi="Bookman Old Style"/>
          <w:b/>
          <w:bCs/>
        </w:rPr>
        <w:t>3. È fatta salva la possibilità per l’utente di inviare al Comune il reclamo scritto, ovvero la richiesta scritta di rettifica degli importi addebitati, senza utilizzare il modulo predisposto dal Comune, purché la comunicazione contenga le informazioni di cui al comma 2.</w:t>
      </w:r>
    </w:p>
    <w:p w14:paraId="46E5EDFB" w14:textId="77777777" w:rsidR="00147AE8" w:rsidRPr="0035031F" w:rsidRDefault="00147AE8" w:rsidP="00147AE8">
      <w:pPr>
        <w:spacing w:after="40" w:line="257" w:lineRule="auto"/>
        <w:ind w:left="502" w:firstLine="0"/>
        <w:jc w:val="both"/>
        <w:rPr>
          <w:rFonts w:ascii="Bookman Old Style" w:hAnsi="Bookman Old Style"/>
          <w:b/>
          <w:bCs/>
        </w:rPr>
      </w:pPr>
      <w:r w:rsidRPr="0035031F">
        <w:rPr>
          <w:rFonts w:ascii="Bookman Old Style" w:hAnsi="Bookman Old Style"/>
          <w:b/>
          <w:bCs/>
        </w:rPr>
        <w:t xml:space="preserve">4. Con riferimento alle richieste di cui al comma 1 il Comune invia, di norma con posta elettronica, una motivata risposta scritta entro 30 giorni lavorativi dalla data di ricevimento della richiesta </w:t>
      </w:r>
      <w:r w:rsidRPr="00147AE8">
        <w:rPr>
          <w:rFonts w:ascii="Bookman Old Style" w:hAnsi="Bookman Old Style"/>
          <w:b/>
          <w:bCs/>
          <w:color w:val="FF0000"/>
        </w:rPr>
        <w:t>[o altro termine, considerando che il termine di 30 giorni non è obbligatorio per le gestioni che si collocano nel quadrante 1, di cui all’art. 3 del TQRIF]</w:t>
      </w:r>
      <w:r w:rsidRPr="0035031F">
        <w:rPr>
          <w:rFonts w:ascii="Sitka Subheading" w:hAnsi="Sitka Subheading"/>
          <w:b/>
          <w:bCs/>
        </w:rPr>
        <w:t xml:space="preserve">. </w:t>
      </w:r>
      <w:r w:rsidRPr="0035031F">
        <w:rPr>
          <w:rFonts w:ascii="Bookman Old Style" w:hAnsi="Bookman Old Style"/>
          <w:b/>
          <w:bCs/>
        </w:rPr>
        <w:t>Nella risposta il Comune indica almeno i seguenti elementi minimi:</w:t>
      </w:r>
    </w:p>
    <w:p w14:paraId="7DE78980" w14:textId="77777777" w:rsidR="00147AE8" w:rsidRPr="0035031F" w:rsidRDefault="00147AE8" w:rsidP="00147AE8">
      <w:pPr>
        <w:spacing w:after="40" w:line="257" w:lineRule="auto"/>
        <w:ind w:left="502" w:firstLine="0"/>
        <w:jc w:val="both"/>
        <w:rPr>
          <w:rFonts w:ascii="Bookman Old Style" w:hAnsi="Bookman Old Style"/>
          <w:b/>
          <w:bCs/>
        </w:rPr>
      </w:pPr>
      <w:r w:rsidRPr="0035031F">
        <w:rPr>
          <w:rFonts w:ascii="Bookman Old Style" w:hAnsi="Bookman Old Style"/>
          <w:b/>
          <w:bCs/>
        </w:rPr>
        <w:t>a)</w:t>
      </w:r>
      <w:r w:rsidRPr="0035031F">
        <w:rPr>
          <w:rFonts w:ascii="Bookman Old Style" w:hAnsi="Bookman Old Style"/>
          <w:b/>
          <w:bCs/>
        </w:rPr>
        <w:tab/>
        <w:t xml:space="preserve"> il riferimento al reclamo scritto, ovvero alla richiesta scritta di informazioni o di rettifica degli importi addebitati;</w:t>
      </w:r>
    </w:p>
    <w:p w14:paraId="3692F31B" w14:textId="77777777" w:rsidR="00147AE8" w:rsidRPr="0035031F" w:rsidRDefault="00147AE8" w:rsidP="00147AE8">
      <w:pPr>
        <w:spacing w:after="40" w:line="257" w:lineRule="auto"/>
        <w:ind w:left="502" w:firstLine="0"/>
        <w:jc w:val="both"/>
        <w:rPr>
          <w:rFonts w:ascii="Bookman Old Style" w:hAnsi="Bookman Old Style"/>
          <w:b/>
          <w:bCs/>
        </w:rPr>
      </w:pPr>
      <w:r w:rsidRPr="0035031F">
        <w:rPr>
          <w:rFonts w:ascii="Bookman Old Style" w:hAnsi="Bookman Old Style"/>
          <w:b/>
          <w:bCs/>
        </w:rPr>
        <w:t>b) la valutazione documentata rispetto alla fondatezza o meno della lamentela presentata nel reclamo, corredata dai riferimenti normativi applicati;</w:t>
      </w:r>
    </w:p>
    <w:p w14:paraId="3E85132C" w14:textId="77777777" w:rsidR="00147AE8" w:rsidRPr="0035031F" w:rsidRDefault="00147AE8" w:rsidP="00147AE8">
      <w:pPr>
        <w:spacing w:after="40" w:line="257" w:lineRule="auto"/>
        <w:ind w:left="502" w:firstLine="0"/>
        <w:jc w:val="both"/>
        <w:rPr>
          <w:rFonts w:ascii="Bookman Old Style" w:hAnsi="Bookman Old Style"/>
          <w:b/>
          <w:bCs/>
        </w:rPr>
      </w:pPr>
      <w:r w:rsidRPr="0035031F">
        <w:rPr>
          <w:rFonts w:ascii="Bookman Old Style" w:hAnsi="Bookman Old Style"/>
          <w:b/>
          <w:bCs/>
        </w:rPr>
        <w:t>b) la descrizione e i tempi delle eventuali azioni correttive che il Comune intende porre in essere;</w:t>
      </w:r>
    </w:p>
    <w:p w14:paraId="123D59F3" w14:textId="77777777" w:rsidR="00147AE8" w:rsidRPr="0035031F" w:rsidRDefault="00147AE8" w:rsidP="00147AE8">
      <w:pPr>
        <w:spacing w:after="40" w:line="257" w:lineRule="auto"/>
        <w:ind w:left="502" w:firstLine="0"/>
        <w:jc w:val="both"/>
        <w:rPr>
          <w:rFonts w:ascii="Bookman Old Style" w:hAnsi="Bookman Old Style"/>
          <w:b/>
          <w:bCs/>
        </w:rPr>
      </w:pPr>
      <w:r w:rsidRPr="0035031F">
        <w:rPr>
          <w:rFonts w:ascii="Bookman Old Style" w:hAnsi="Bookman Old Style"/>
          <w:b/>
          <w:bCs/>
        </w:rPr>
        <w:t>c) l’elenco della eventuale documentazione allegata.</w:t>
      </w:r>
    </w:p>
    <w:p w14:paraId="56B08662" w14:textId="77777777" w:rsidR="00147AE8" w:rsidRPr="0035031F" w:rsidRDefault="00147AE8" w:rsidP="00147AE8">
      <w:pPr>
        <w:spacing w:after="40" w:line="257" w:lineRule="auto"/>
        <w:ind w:left="502" w:firstLine="0"/>
        <w:jc w:val="both"/>
        <w:rPr>
          <w:rFonts w:ascii="Bookman Old Style" w:hAnsi="Bookman Old Style"/>
          <w:b/>
          <w:bCs/>
        </w:rPr>
      </w:pPr>
      <w:r w:rsidRPr="0035031F">
        <w:rPr>
          <w:rFonts w:ascii="Bookman Old Style" w:hAnsi="Bookman Old Style"/>
          <w:b/>
          <w:bCs/>
        </w:rPr>
        <w:lastRenderedPageBreak/>
        <w:t xml:space="preserve">d) con riferimento alla richiesta scritta di rettifica degli importi addebitati la risposta, da inviare di norma entro 60 giorni lavorativi </w:t>
      </w:r>
      <w:r w:rsidRPr="00147AE8">
        <w:rPr>
          <w:rFonts w:ascii="Bookman Old Style" w:hAnsi="Bookman Old Style"/>
          <w:b/>
          <w:bCs/>
          <w:color w:val="FF0000"/>
        </w:rPr>
        <w:t>[o altro termine individuato dal Comune]</w:t>
      </w:r>
      <w:r w:rsidRPr="00381976">
        <w:rPr>
          <w:rStyle w:val="Rimandonotaapidipagina"/>
          <w:b/>
          <w:bCs/>
          <w:sz w:val="18"/>
          <w:szCs w:val="18"/>
          <w:vertAlign w:val="superscript"/>
        </w:rPr>
        <w:footnoteReference w:id="19"/>
      </w:r>
      <w:r w:rsidRPr="0035031F">
        <w:rPr>
          <w:rFonts w:ascii="Sitka Subheading" w:hAnsi="Sitka Subheading"/>
          <w:b/>
          <w:bCs/>
        </w:rPr>
        <w:t>,</w:t>
      </w:r>
      <w:r w:rsidRPr="0035031F">
        <w:rPr>
          <w:rFonts w:ascii="Bookman Old Style" w:hAnsi="Bookman Old Style"/>
          <w:b/>
          <w:bCs/>
        </w:rPr>
        <w:t xml:space="preserve"> riporta la valutazione della fondatezza o meno della richiesta di rettifica corredata dalla documentazione e dai riferimenti normativi da cui si evince la correttezza delle tariffe applicate in conformità alla normativa vigente, al regolamento ed alla delibera tariffaria, oltre al dettaglio del calcolo effettuato per l’eventuale rettifica. Nel caso in cui con la richiesta di rettifica dell’importo addebitato è richiesto il rimborso di quanto versato in eccedenza, la risposta riporta, altresì, l’indicazione del termine entro il quale può essere proposto ricorso e della Corte di giustizia tributaria competente, nonché delle relative forme da osservare per la presentazione del ricorso</w:t>
      </w:r>
      <w:r w:rsidRPr="00381976">
        <w:rPr>
          <w:rStyle w:val="Rimandonotaapidipagina"/>
          <w:b/>
          <w:bCs/>
          <w:sz w:val="18"/>
          <w:szCs w:val="18"/>
          <w:vertAlign w:val="superscript"/>
        </w:rPr>
        <w:footnoteReference w:id="20"/>
      </w:r>
      <w:r w:rsidRPr="0035031F">
        <w:rPr>
          <w:rFonts w:ascii="Bookman Old Style" w:hAnsi="Bookman Old Style"/>
          <w:b/>
          <w:bCs/>
        </w:rPr>
        <w:t>.</w:t>
      </w:r>
    </w:p>
    <w:p w14:paraId="4D2045E7" w14:textId="75BB4E83" w:rsidR="00147AE8" w:rsidRPr="0035031F" w:rsidRDefault="00147AE8" w:rsidP="00147AE8">
      <w:pPr>
        <w:spacing w:after="40" w:line="257" w:lineRule="auto"/>
        <w:ind w:left="502" w:firstLine="0"/>
        <w:jc w:val="both"/>
        <w:rPr>
          <w:rFonts w:ascii="Bookman Old Style" w:hAnsi="Bookman Old Style"/>
          <w:b/>
          <w:bCs/>
        </w:rPr>
      </w:pPr>
      <w:r w:rsidRPr="0035031F">
        <w:rPr>
          <w:rFonts w:ascii="Bookman Old Style" w:hAnsi="Bookman Old Style"/>
          <w:b/>
          <w:bCs/>
        </w:rPr>
        <w:t>5. Nel caso di accoglimento della richiesta scritta di rettifica degli importi addebitati, l’importo eventualmente pagato e non dovuto, viene compensato direttamente nel primo avviso bonario utile</w:t>
      </w:r>
      <w:r w:rsidRPr="00381976">
        <w:rPr>
          <w:rStyle w:val="Rimandonotaapidipagina"/>
          <w:b/>
          <w:bCs/>
          <w:sz w:val="18"/>
          <w:szCs w:val="18"/>
          <w:vertAlign w:val="superscript"/>
        </w:rPr>
        <w:footnoteReference w:id="21"/>
      </w:r>
      <w:r w:rsidRPr="0035031F">
        <w:rPr>
          <w:rFonts w:ascii="Bookman Old Style" w:hAnsi="Bookman Old Style"/>
          <w:b/>
          <w:bCs/>
        </w:rPr>
        <w:t xml:space="preserve">. Nel caso in cui il contribuente abbia presentato una dichiarazione di cessazione, e quindi non abbia più un’utenza assoggettabile a TARI, l’importo eventualmente dovuto verrà </w:t>
      </w:r>
      <w:r w:rsidR="00FB1183" w:rsidRPr="00112D95">
        <w:rPr>
          <w:rFonts w:ascii="Bookman Old Style" w:hAnsi="Bookman Old Style"/>
          <w:b/>
          <w:bCs/>
        </w:rPr>
        <w:t xml:space="preserve">rimborsato </w:t>
      </w:r>
      <w:r w:rsidRPr="0035031F">
        <w:rPr>
          <w:rFonts w:ascii="Bookman Old Style" w:hAnsi="Bookman Old Style"/>
          <w:b/>
          <w:bCs/>
        </w:rPr>
        <w:t xml:space="preserve">sulla base delle informazioni di cui al precedente comma 2, lett. b). </w:t>
      </w:r>
    </w:p>
    <w:p w14:paraId="6A2682C3" w14:textId="77777777" w:rsidR="00147AE8" w:rsidRPr="0035031F" w:rsidRDefault="00147AE8" w:rsidP="00147AE8">
      <w:pPr>
        <w:spacing w:after="40" w:line="257" w:lineRule="auto"/>
        <w:ind w:left="502" w:firstLine="0"/>
        <w:jc w:val="both"/>
        <w:rPr>
          <w:rFonts w:ascii="Bookman Old Style" w:hAnsi="Bookman Old Style"/>
          <w:b/>
          <w:bCs/>
        </w:rPr>
      </w:pPr>
      <w:r w:rsidRPr="0035031F">
        <w:rPr>
          <w:rFonts w:ascii="Bookman Old Style" w:hAnsi="Bookman Old Style"/>
          <w:b/>
          <w:bCs/>
        </w:rPr>
        <w:t>6. Nel caso in cui con la richiesta di rettifica dell’importo addebitato è richiesto il rimborso di quanto versato in eccedenza, la richiesta equivale a domanda di rimborso, da presentarsi nel rispetto dei termini decadenziali di cui all’articolo 1, comma 164, legge 27 dicembre 2006, n. 296. La risposta del Comune è notificata tramite raccomandata A/R o posta elettronica certificata</w:t>
      </w:r>
      <w:r w:rsidRPr="00381976">
        <w:rPr>
          <w:rStyle w:val="Rimandonotaapidipagina"/>
          <w:b/>
          <w:bCs/>
          <w:sz w:val="18"/>
          <w:szCs w:val="18"/>
          <w:vertAlign w:val="superscript"/>
        </w:rPr>
        <w:footnoteReference w:id="22"/>
      </w:r>
      <w:r w:rsidRPr="0035031F">
        <w:rPr>
          <w:rFonts w:ascii="Bookman Old Style" w:hAnsi="Bookman Old Style"/>
          <w:b/>
          <w:bCs/>
        </w:rPr>
        <w:t>.</w:t>
      </w:r>
    </w:p>
    <w:p w14:paraId="6273567E" w14:textId="77777777" w:rsidR="00147AE8" w:rsidRDefault="00147AE8" w:rsidP="00147AE8">
      <w:pPr>
        <w:spacing w:after="40" w:line="257" w:lineRule="auto"/>
        <w:ind w:left="502" w:firstLine="0"/>
        <w:jc w:val="both"/>
        <w:rPr>
          <w:rFonts w:ascii="Bookman Old Style" w:hAnsi="Bookman Old Style"/>
        </w:rPr>
      </w:pPr>
    </w:p>
    <w:p w14:paraId="4BD2672B" w14:textId="7A914C1D" w:rsidR="001A26C4" w:rsidRDefault="001A26C4">
      <w:pPr>
        <w:spacing w:after="40" w:line="276" w:lineRule="auto"/>
        <w:ind w:firstLine="0"/>
        <w:rPr>
          <w:rFonts w:ascii="Bookman Old Style" w:hAnsi="Bookman Old Style"/>
        </w:rPr>
      </w:pPr>
      <w:r>
        <w:rPr>
          <w:rFonts w:ascii="Bookman Old Style" w:hAnsi="Bookman Old Style"/>
        </w:rPr>
        <w:br w:type="page"/>
      </w:r>
    </w:p>
    <w:p w14:paraId="33220107" w14:textId="77777777" w:rsidR="00147AE8" w:rsidRDefault="00147AE8" w:rsidP="00147AE8">
      <w:pPr>
        <w:spacing w:after="40" w:line="257" w:lineRule="auto"/>
        <w:ind w:left="502" w:firstLine="0"/>
        <w:jc w:val="both"/>
        <w:rPr>
          <w:rFonts w:ascii="Bookman Old Style" w:hAnsi="Bookman Old Style"/>
        </w:rPr>
      </w:pPr>
    </w:p>
    <w:p w14:paraId="61CCB58F" w14:textId="77777777" w:rsidR="00147AE8" w:rsidRDefault="00147AE8" w:rsidP="00147AE8">
      <w:pPr>
        <w:pStyle w:val="Titolo2"/>
        <w:rPr>
          <w:rFonts w:ascii="Bookman Old Style" w:hAnsi="Bookman Old Style"/>
          <w:sz w:val="22"/>
          <w:szCs w:val="22"/>
        </w:rPr>
      </w:pPr>
      <w:bookmarkStart w:id="9" w:name="_Toc121591189"/>
      <w:r w:rsidRPr="00644FDD">
        <w:rPr>
          <w:rFonts w:ascii="Bookman Old Style" w:hAnsi="Bookman Old Style"/>
          <w:sz w:val="22"/>
          <w:szCs w:val="22"/>
        </w:rPr>
        <w:t>Articolo X</w:t>
      </w:r>
      <w:r>
        <w:rPr>
          <w:rFonts w:ascii="Bookman Old Style" w:hAnsi="Bookman Old Style"/>
          <w:sz w:val="22"/>
          <w:szCs w:val="22"/>
        </w:rPr>
        <w:t>3</w:t>
      </w:r>
      <w:r w:rsidRPr="00644FDD">
        <w:rPr>
          <w:rFonts w:ascii="Bookman Old Style" w:hAnsi="Bookman Old Style"/>
          <w:sz w:val="22"/>
          <w:szCs w:val="22"/>
        </w:rPr>
        <w:t xml:space="preserve"> </w:t>
      </w:r>
      <w:r>
        <w:rPr>
          <w:rFonts w:ascii="Bookman Old Style" w:hAnsi="Bookman Old Style"/>
          <w:sz w:val="22"/>
          <w:szCs w:val="22"/>
        </w:rPr>
        <w:t>– Modalità di versamento e sollecito di pagamento</w:t>
      </w:r>
      <w:bookmarkEnd w:id="9"/>
    </w:p>
    <w:p w14:paraId="055E2018" w14:textId="77777777" w:rsidR="00147AE8" w:rsidRDefault="00147AE8" w:rsidP="00147AE8">
      <w:pPr>
        <w:shd w:val="clear" w:color="auto" w:fill="EEECE1" w:themeFill="background2"/>
        <w:ind w:firstLine="0"/>
        <w:jc w:val="both"/>
        <w:rPr>
          <w:rFonts w:ascii="Bookman Old Style" w:hAnsi="Bookman Old Style"/>
          <w:i/>
          <w:iCs/>
          <w:color w:val="000000" w:themeColor="text1"/>
        </w:rPr>
      </w:pPr>
      <w:r w:rsidRPr="00D2465D">
        <w:rPr>
          <w:rFonts w:ascii="Bookman Old Style" w:hAnsi="Bookman Old Style"/>
          <w:i/>
          <w:iCs/>
          <w:color w:val="000000" w:themeColor="text1"/>
        </w:rPr>
        <w:t>In que</w:t>
      </w:r>
      <w:r>
        <w:rPr>
          <w:rFonts w:ascii="Bookman Old Style" w:hAnsi="Bookman Old Style"/>
          <w:i/>
          <w:iCs/>
          <w:color w:val="000000" w:themeColor="text1"/>
        </w:rPr>
        <w:t>sto articolo sono regolamentati i termini di pagamento, le modalità di pagamento, l’invio degli avvisi di pagamento e l’eventuale sollecito di pagamento. L’articolo recepisce le indicazioni contenute negli articoli 23, 24, 25 e 26 del TQRIF.</w:t>
      </w:r>
    </w:p>
    <w:p w14:paraId="0701F6D7" w14:textId="77777777" w:rsidR="00147AE8" w:rsidRDefault="00147AE8" w:rsidP="00147AE8">
      <w:pPr>
        <w:pStyle w:val="Paragrafoelenco"/>
        <w:ind w:left="0" w:firstLine="0"/>
        <w:jc w:val="both"/>
        <w:rPr>
          <w:rFonts w:ascii="Bookman Old Style" w:hAnsi="Bookman Old Style"/>
        </w:rPr>
      </w:pPr>
    </w:p>
    <w:p w14:paraId="71673978" w14:textId="77777777" w:rsidR="00147AE8" w:rsidRPr="0038349C" w:rsidRDefault="00147AE8" w:rsidP="00147AE8">
      <w:pPr>
        <w:spacing w:after="40" w:line="257" w:lineRule="auto"/>
        <w:ind w:left="502" w:firstLine="0"/>
        <w:jc w:val="both"/>
        <w:rPr>
          <w:rFonts w:ascii="Bookman Old Style" w:hAnsi="Bookman Old Style"/>
        </w:rPr>
      </w:pPr>
      <w:r w:rsidRPr="0038349C">
        <w:rPr>
          <w:rFonts w:ascii="Bookman Old Style" w:hAnsi="Bookman Old Style"/>
        </w:rPr>
        <w:t>1.</w:t>
      </w:r>
      <w:r>
        <w:rPr>
          <w:rFonts w:ascii="Bookman Old Style" w:hAnsi="Bookman Old Style"/>
        </w:rPr>
        <w:t xml:space="preserve"> </w:t>
      </w:r>
      <w:r w:rsidRPr="0038349C">
        <w:rPr>
          <w:rFonts w:ascii="Bookman Old Style" w:hAnsi="Bookman Old Style"/>
        </w:rPr>
        <w:t xml:space="preserve">La tassa sui rifiuti è versata direttamente al Comune secondo le modalità previste dall’art. 1, comma 688, della Legge </w:t>
      </w:r>
      <w:r>
        <w:rPr>
          <w:rFonts w:ascii="Bookman Old Style" w:hAnsi="Bookman Old Style"/>
        </w:rPr>
        <w:t>27 dicembre 2</w:t>
      </w:r>
      <w:r w:rsidRPr="0038349C">
        <w:rPr>
          <w:rFonts w:ascii="Bookman Old Style" w:hAnsi="Bookman Old Style"/>
        </w:rPr>
        <w:t xml:space="preserve">013, n. 147 e dall’art. 2-bis del </w:t>
      </w:r>
      <w:r>
        <w:rPr>
          <w:rFonts w:ascii="Bookman Old Style" w:hAnsi="Bookman Old Style"/>
        </w:rPr>
        <w:t>d</w:t>
      </w:r>
      <w:r w:rsidRPr="0038349C">
        <w:rPr>
          <w:rFonts w:ascii="Bookman Old Style" w:hAnsi="Bookman Old Style"/>
        </w:rPr>
        <w:t>ecreto-legge 22</w:t>
      </w:r>
      <w:r>
        <w:rPr>
          <w:rFonts w:ascii="Bookman Old Style" w:hAnsi="Bookman Old Style"/>
        </w:rPr>
        <w:t xml:space="preserve"> ottobre 2</w:t>
      </w:r>
      <w:r w:rsidRPr="0038349C">
        <w:rPr>
          <w:rFonts w:ascii="Bookman Old Style" w:hAnsi="Bookman Old Style"/>
        </w:rPr>
        <w:t xml:space="preserve">016, n. 193, convertito dalla </w:t>
      </w:r>
      <w:r>
        <w:rPr>
          <w:rFonts w:ascii="Bookman Old Style" w:hAnsi="Bookman Old Style"/>
        </w:rPr>
        <w:t>l</w:t>
      </w:r>
      <w:r w:rsidRPr="0038349C">
        <w:rPr>
          <w:rFonts w:ascii="Bookman Old Style" w:hAnsi="Bookman Old Style"/>
        </w:rPr>
        <w:t xml:space="preserve">egge </w:t>
      </w:r>
      <w:r>
        <w:rPr>
          <w:rFonts w:ascii="Bookman Old Style" w:hAnsi="Bookman Old Style"/>
        </w:rPr>
        <w:t xml:space="preserve">1° gennaio </w:t>
      </w:r>
      <w:r w:rsidRPr="0038349C">
        <w:rPr>
          <w:rFonts w:ascii="Bookman Old Style" w:hAnsi="Bookman Old Style"/>
        </w:rPr>
        <w:t>2016, n. 215.</w:t>
      </w:r>
      <w:r>
        <w:rPr>
          <w:rFonts w:ascii="Bookman Old Style" w:hAnsi="Bookman Old Style"/>
        </w:rPr>
        <w:t xml:space="preserve"> In particolare, il versamento può essere effettuato:</w:t>
      </w:r>
    </w:p>
    <w:p w14:paraId="2014A69C" w14:textId="77777777" w:rsidR="00147AE8" w:rsidRPr="0038349C" w:rsidRDefault="00147AE8" w:rsidP="00147AE8">
      <w:pPr>
        <w:spacing w:after="40" w:line="257" w:lineRule="auto"/>
        <w:ind w:left="502" w:firstLine="0"/>
        <w:jc w:val="both"/>
        <w:rPr>
          <w:rFonts w:ascii="Bookman Old Style" w:hAnsi="Bookman Old Style"/>
        </w:rPr>
      </w:pPr>
      <w:r w:rsidRPr="0038349C">
        <w:rPr>
          <w:rFonts w:ascii="Bookman Old Style" w:hAnsi="Bookman Old Style"/>
        </w:rPr>
        <w:t>•</w:t>
      </w:r>
      <w:r w:rsidRPr="0038349C">
        <w:rPr>
          <w:rFonts w:ascii="Bookman Old Style" w:hAnsi="Bookman Old Style"/>
        </w:rPr>
        <w:tab/>
        <w:t xml:space="preserve">mediante modello di pagamento unificato di cui all’art. 17 del </w:t>
      </w:r>
      <w:r>
        <w:rPr>
          <w:rFonts w:ascii="Bookman Old Style" w:hAnsi="Bookman Old Style"/>
        </w:rPr>
        <w:t>d</w:t>
      </w:r>
      <w:r w:rsidRPr="0038349C">
        <w:rPr>
          <w:rFonts w:ascii="Bookman Old Style" w:hAnsi="Bookman Old Style"/>
        </w:rPr>
        <w:t xml:space="preserve">ecreto </w:t>
      </w:r>
      <w:r>
        <w:rPr>
          <w:rFonts w:ascii="Bookman Old Style" w:hAnsi="Bookman Old Style"/>
        </w:rPr>
        <w:t>l</w:t>
      </w:r>
      <w:r w:rsidRPr="0038349C">
        <w:rPr>
          <w:rFonts w:ascii="Bookman Old Style" w:hAnsi="Bookman Old Style"/>
        </w:rPr>
        <w:t xml:space="preserve">egislativo </w:t>
      </w:r>
      <w:r>
        <w:rPr>
          <w:rFonts w:ascii="Bookman Old Style" w:hAnsi="Bookman Old Style"/>
        </w:rPr>
        <w:t xml:space="preserve">9 luglio </w:t>
      </w:r>
      <w:r w:rsidRPr="0038349C">
        <w:rPr>
          <w:rFonts w:ascii="Bookman Old Style" w:hAnsi="Bookman Old Style"/>
        </w:rPr>
        <w:t>1997, n. 241</w:t>
      </w:r>
      <w:r w:rsidRPr="00381976">
        <w:rPr>
          <w:rStyle w:val="Rimandonotaapidipagina"/>
          <w:sz w:val="18"/>
          <w:szCs w:val="18"/>
          <w:vertAlign w:val="superscript"/>
        </w:rPr>
        <w:footnoteReference w:id="23"/>
      </w:r>
      <w:r w:rsidRPr="0038349C">
        <w:rPr>
          <w:rFonts w:ascii="Bookman Old Style" w:hAnsi="Bookman Old Style"/>
        </w:rPr>
        <w:t>;</w:t>
      </w:r>
    </w:p>
    <w:p w14:paraId="1B6897CA" w14:textId="77777777" w:rsidR="00147AE8" w:rsidRPr="0038349C" w:rsidRDefault="00147AE8" w:rsidP="00147AE8">
      <w:pPr>
        <w:spacing w:after="40" w:line="257" w:lineRule="auto"/>
        <w:ind w:left="502" w:firstLine="0"/>
        <w:jc w:val="both"/>
        <w:rPr>
          <w:rFonts w:ascii="Bookman Old Style" w:hAnsi="Bookman Old Style"/>
        </w:rPr>
      </w:pPr>
      <w:r w:rsidRPr="0038349C">
        <w:rPr>
          <w:rFonts w:ascii="Bookman Old Style" w:hAnsi="Bookman Old Style"/>
        </w:rPr>
        <w:t>•</w:t>
      </w:r>
      <w:r w:rsidRPr="0038349C">
        <w:rPr>
          <w:rFonts w:ascii="Bookman Old Style" w:hAnsi="Bookman Old Style"/>
        </w:rPr>
        <w:tab/>
        <w:t xml:space="preserve">tramite le seguenti modalità di pagamento offerte dai servizi elettronici di incasso o di pagamento interbancari e postali: </w:t>
      </w:r>
      <w:r w:rsidRPr="00A01275">
        <w:rPr>
          <w:rFonts w:ascii="Bookman Old Style" w:hAnsi="Bookman Old Style"/>
          <w:b/>
          <w:color w:val="FF0000"/>
        </w:rPr>
        <w:t>[specificare]</w:t>
      </w:r>
      <w:r w:rsidRPr="00381976">
        <w:rPr>
          <w:rStyle w:val="Rimandonotaapidipagina"/>
          <w:sz w:val="18"/>
          <w:szCs w:val="18"/>
          <w:vertAlign w:val="superscript"/>
        </w:rPr>
        <w:footnoteReference w:id="24"/>
      </w:r>
      <w:r w:rsidRPr="00A01275">
        <w:rPr>
          <w:rFonts w:ascii="Bookman Old Style" w:hAnsi="Bookman Old Style"/>
        </w:rPr>
        <w:t>;</w:t>
      </w:r>
    </w:p>
    <w:p w14:paraId="1693DDE7" w14:textId="77777777" w:rsidR="00147AE8" w:rsidRDefault="00147AE8" w:rsidP="00147AE8">
      <w:pPr>
        <w:spacing w:after="40" w:line="257" w:lineRule="auto"/>
        <w:ind w:left="502" w:firstLine="0"/>
        <w:jc w:val="both"/>
        <w:rPr>
          <w:rFonts w:ascii="Bookman Old Style" w:hAnsi="Bookman Old Style"/>
        </w:rPr>
      </w:pPr>
      <w:r w:rsidRPr="0038349C">
        <w:rPr>
          <w:rFonts w:ascii="Bookman Old Style" w:hAnsi="Bookman Old Style"/>
        </w:rPr>
        <w:t>•</w:t>
      </w:r>
      <w:r w:rsidRPr="0038349C">
        <w:rPr>
          <w:rFonts w:ascii="Bookman Old Style" w:hAnsi="Bookman Old Style"/>
        </w:rPr>
        <w:tab/>
        <w:t xml:space="preserve">attraverso la piattaforma di cui all'articolo 5 del codice di cui al </w:t>
      </w:r>
      <w:r>
        <w:rPr>
          <w:rFonts w:ascii="Bookman Old Style" w:hAnsi="Bookman Old Style"/>
        </w:rPr>
        <w:t>d</w:t>
      </w:r>
      <w:r w:rsidRPr="0038349C">
        <w:rPr>
          <w:rFonts w:ascii="Bookman Old Style" w:hAnsi="Bookman Old Style"/>
        </w:rPr>
        <w:t>ecreto legislativo 7</w:t>
      </w:r>
      <w:r>
        <w:rPr>
          <w:rFonts w:ascii="Bookman Old Style" w:hAnsi="Bookman Old Style"/>
        </w:rPr>
        <w:t xml:space="preserve"> marzo </w:t>
      </w:r>
      <w:r w:rsidRPr="0038349C">
        <w:rPr>
          <w:rFonts w:ascii="Bookman Old Style" w:hAnsi="Bookman Old Style"/>
        </w:rPr>
        <w:t>2005, n. 82 (PagoPa)</w:t>
      </w:r>
      <w:r>
        <w:rPr>
          <w:rFonts w:ascii="Bookman Old Style" w:hAnsi="Bookman Old Style"/>
        </w:rPr>
        <w:t>;</w:t>
      </w:r>
    </w:p>
    <w:p w14:paraId="41B49F44" w14:textId="77777777" w:rsidR="00147AE8" w:rsidRPr="0038349C" w:rsidRDefault="00147AE8" w:rsidP="00147AE8">
      <w:pPr>
        <w:spacing w:after="40" w:line="257" w:lineRule="auto"/>
        <w:ind w:left="502" w:firstLine="0"/>
        <w:jc w:val="both"/>
        <w:rPr>
          <w:rFonts w:ascii="Bookman Old Style" w:hAnsi="Bookman Old Style"/>
        </w:rPr>
      </w:pPr>
      <w:r w:rsidRPr="0038349C">
        <w:rPr>
          <w:rFonts w:ascii="Bookman Old Style" w:hAnsi="Bookman Old Style"/>
        </w:rPr>
        <w:t>•</w:t>
      </w:r>
      <w:r w:rsidRPr="0038349C">
        <w:rPr>
          <w:rFonts w:ascii="Bookman Old Style" w:hAnsi="Bookman Old Style"/>
        </w:rPr>
        <w:tab/>
      </w:r>
      <w:r w:rsidRPr="00F3149C">
        <w:rPr>
          <w:rFonts w:ascii="Bookman Old Style" w:hAnsi="Bookman Old Style"/>
          <w:b/>
          <w:bCs/>
        </w:rPr>
        <w:t>mediante pagamento presso gli sportelli comunali tramite carta di credito o assegno circolare</w:t>
      </w:r>
      <w:r>
        <w:rPr>
          <w:rFonts w:ascii="Bookman Old Style" w:hAnsi="Bookman Old Style"/>
          <w:b/>
          <w:bCs/>
        </w:rPr>
        <w:t xml:space="preserve"> </w:t>
      </w:r>
      <w:r w:rsidRPr="00A01275">
        <w:rPr>
          <w:rFonts w:ascii="Bookman Old Style" w:hAnsi="Bookman Old Style"/>
          <w:b/>
          <w:color w:val="FF0000"/>
        </w:rPr>
        <w:t>[opzionale]</w:t>
      </w:r>
      <w:r w:rsidRPr="00381976">
        <w:rPr>
          <w:rStyle w:val="Rimandonotaapidipagina"/>
          <w:sz w:val="18"/>
          <w:szCs w:val="18"/>
          <w:vertAlign w:val="superscript"/>
        </w:rPr>
        <w:footnoteReference w:id="25"/>
      </w:r>
      <w:r>
        <w:rPr>
          <w:rFonts w:ascii="Bookman Old Style" w:hAnsi="Bookman Old Style"/>
        </w:rPr>
        <w:t>.</w:t>
      </w:r>
    </w:p>
    <w:p w14:paraId="494EBDF5" w14:textId="77777777" w:rsidR="00147AE8" w:rsidRPr="0038349C" w:rsidRDefault="00147AE8" w:rsidP="00147AE8">
      <w:pPr>
        <w:spacing w:after="40" w:line="257" w:lineRule="auto"/>
        <w:ind w:left="502" w:firstLine="0"/>
        <w:jc w:val="both"/>
        <w:rPr>
          <w:rFonts w:ascii="Bookman Old Style" w:hAnsi="Bookman Old Style"/>
        </w:rPr>
      </w:pPr>
      <w:r w:rsidRPr="0038349C">
        <w:rPr>
          <w:rFonts w:ascii="Bookman Old Style" w:hAnsi="Bookman Old Style"/>
        </w:rPr>
        <w:t>2.</w:t>
      </w:r>
      <w:r>
        <w:rPr>
          <w:rFonts w:ascii="Bookman Old Style" w:hAnsi="Bookman Old Style"/>
        </w:rPr>
        <w:t xml:space="preserve"> </w:t>
      </w:r>
      <w:r w:rsidRPr="0038349C">
        <w:rPr>
          <w:rFonts w:ascii="Bookman Old Style" w:hAnsi="Bookman Old Style"/>
        </w:rPr>
        <w:t xml:space="preserve">Il Comune provvede ad inviare al contribuente un avviso bonario con annessi i modelli di pagamento precompilati, sulla base delle dichiarazioni presentate e degli accertamenti notificati, contenente l’importo dovuto per la tassa sui rifiuti ed il tributo provinciale, l’ubicazione e la superficie dei locali e delle aree su cui è applicato il tributo, la destinazione d’uso dichiarata o accertata, le tariffe applicate, l’importo di ogni singola rata e le scadenze. L’avviso di pagamento deve contenere altresì tutti gli elementi previsti dall’art. 7 della </w:t>
      </w:r>
      <w:r>
        <w:rPr>
          <w:rFonts w:ascii="Bookman Old Style" w:hAnsi="Bookman Old Style"/>
        </w:rPr>
        <w:t>l</w:t>
      </w:r>
      <w:r w:rsidRPr="0038349C">
        <w:rPr>
          <w:rFonts w:ascii="Bookman Old Style" w:hAnsi="Bookman Old Style"/>
        </w:rPr>
        <w:t>egge 27</w:t>
      </w:r>
      <w:r>
        <w:rPr>
          <w:rFonts w:ascii="Bookman Old Style" w:hAnsi="Bookman Old Style"/>
        </w:rPr>
        <w:t xml:space="preserve"> luglio </w:t>
      </w:r>
      <w:r w:rsidRPr="0038349C">
        <w:rPr>
          <w:rFonts w:ascii="Bookman Old Style" w:hAnsi="Bookman Old Style"/>
        </w:rPr>
        <w:t xml:space="preserve">2000, n. 212, nonché tutte le indicazioni contenute nella delibera ARERA n. 444/2019. In particolare, è previsto l’invio al domicilio del titolare dell’utenza o ad altro recapito indicato dallo stesso, di un documento di riscossione in formato cartaceo, fatta salva la scelta dell’utente di ricevere il documento medesimo in formato elettronico. A tal fine, l’avviso di pagamento contiene specifiche indicazioni che consentano agli utenti di optare per la sua ricezione in formato elettronico, con la relativa procedura di attivazione. Per le utenze non domestiche la comunicazione degli importi dovuti potrà avvenire anche esclusivamente tramite invio con posta elettronica certificata. </w:t>
      </w:r>
    </w:p>
    <w:p w14:paraId="6CDA3A11" w14:textId="77777777" w:rsidR="00147AE8" w:rsidRPr="00EE4325" w:rsidRDefault="00147AE8" w:rsidP="00147AE8">
      <w:pPr>
        <w:spacing w:after="40" w:line="257" w:lineRule="auto"/>
        <w:ind w:left="502" w:firstLine="0"/>
        <w:jc w:val="both"/>
        <w:rPr>
          <w:rFonts w:ascii="Bookman Old Style" w:hAnsi="Bookman Old Style"/>
          <w:b/>
          <w:bCs/>
        </w:rPr>
      </w:pPr>
      <w:r w:rsidRPr="0038349C">
        <w:rPr>
          <w:rFonts w:ascii="Bookman Old Style" w:hAnsi="Bookman Old Style"/>
        </w:rPr>
        <w:t>3.</w:t>
      </w:r>
      <w:r>
        <w:rPr>
          <w:rFonts w:ascii="Bookman Old Style" w:hAnsi="Bookman Old Style"/>
        </w:rPr>
        <w:t xml:space="preserve"> </w:t>
      </w:r>
      <w:r w:rsidRPr="0038349C">
        <w:rPr>
          <w:rFonts w:ascii="Bookman Old Style" w:hAnsi="Bookman Old Style"/>
        </w:rPr>
        <w:t xml:space="preserve">Fatto salvo quanto previsto dal successivo comma 4, il pagamento degli importi dovuti deve essere effettuato in </w:t>
      </w:r>
      <w:r w:rsidRPr="00A01275">
        <w:rPr>
          <w:rFonts w:ascii="Bookman Old Style" w:hAnsi="Bookman Old Style"/>
          <w:b/>
          <w:color w:val="FF0000"/>
        </w:rPr>
        <w:t>[indicare il numero di rate]</w:t>
      </w:r>
      <w:r w:rsidRPr="00A01275">
        <w:rPr>
          <w:rFonts w:ascii="Bookman Old Style" w:hAnsi="Bookman Old Style"/>
          <w:color w:val="FF0000"/>
        </w:rPr>
        <w:t xml:space="preserve"> </w:t>
      </w:r>
      <w:r w:rsidRPr="0038349C">
        <w:rPr>
          <w:rFonts w:ascii="Bookman Old Style" w:hAnsi="Bookman Old Style"/>
        </w:rPr>
        <w:t xml:space="preserve">rate aventi cadenza </w:t>
      </w:r>
      <w:r w:rsidRPr="00A01275">
        <w:rPr>
          <w:rFonts w:ascii="Bookman Old Style" w:hAnsi="Bookman Old Style"/>
          <w:b/>
          <w:color w:val="FF0000"/>
        </w:rPr>
        <w:t>[indicare la cadenza: almeno 2 rate semestrali]</w:t>
      </w:r>
      <w:r w:rsidRPr="00566ACE">
        <w:rPr>
          <w:rStyle w:val="Rimandonotaapidipagina"/>
          <w:sz w:val="18"/>
          <w:szCs w:val="18"/>
          <w:vertAlign w:val="superscript"/>
        </w:rPr>
        <w:footnoteReference w:id="26"/>
      </w:r>
      <w:r w:rsidRPr="0038349C">
        <w:rPr>
          <w:rFonts w:ascii="Bookman Old Style" w:hAnsi="Bookman Old Style"/>
        </w:rPr>
        <w:t xml:space="preserve">, scadenti il giorno </w:t>
      </w:r>
      <w:r w:rsidRPr="00A01275">
        <w:rPr>
          <w:rFonts w:ascii="Bookman Old Style" w:hAnsi="Bookman Old Style"/>
          <w:b/>
          <w:color w:val="FF0000"/>
        </w:rPr>
        <w:t>[indicare il giorno]</w:t>
      </w:r>
      <w:r w:rsidRPr="00F31EE5">
        <w:rPr>
          <w:rStyle w:val="Rimandonotaapidipagina"/>
          <w:vertAlign w:val="superscript"/>
        </w:rPr>
        <w:footnoteReference w:id="27"/>
      </w:r>
      <w:r w:rsidRPr="00F31EE5">
        <w:rPr>
          <w:rFonts w:ascii="Bookman Old Style" w:hAnsi="Bookman Old Style"/>
          <w:vertAlign w:val="superscript"/>
        </w:rPr>
        <w:t xml:space="preserve"> </w:t>
      </w:r>
      <w:r w:rsidRPr="0038349C">
        <w:rPr>
          <w:rFonts w:ascii="Bookman Old Style" w:hAnsi="Bookman Old Style"/>
        </w:rPr>
        <w:t xml:space="preserve">del mese o in unica soluzione entro il </w:t>
      </w:r>
      <w:r w:rsidRPr="00A01275">
        <w:rPr>
          <w:rFonts w:ascii="Bookman Old Style" w:hAnsi="Bookman Old Style"/>
          <w:b/>
          <w:color w:val="FF0000"/>
        </w:rPr>
        <w:t>[indicare il giorno]</w:t>
      </w:r>
      <w:r w:rsidRPr="0038349C">
        <w:rPr>
          <w:rFonts w:ascii="Bookman Old Style" w:hAnsi="Bookman Old Style"/>
        </w:rPr>
        <w:t xml:space="preserve"> di ciascun anno </w:t>
      </w:r>
      <w:r w:rsidRPr="0038349C">
        <w:rPr>
          <w:rFonts w:ascii="Bookman Old Style" w:hAnsi="Bookman Old Style"/>
        </w:rPr>
        <w:lastRenderedPageBreak/>
        <w:t>o comunque entro la prima rata di scadenza del tributo qualora successiva a predetta data. Eventuali conguagli di anni precedenti o dell’anno in corso possono essere riscossi anche in unica soluzione. La determinazione delle singole rate avviene secondo le regole stabilite dall’art. 13, comma 15-ter, del</w:t>
      </w:r>
      <w:r>
        <w:rPr>
          <w:rFonts w:ascii="Bookman Old Style" w:hAnsi="Bookman Old Style"/>
        </w:rPr>
        <w:t xml:space="preserve"> decreto legge 6 dicembre 2011, n. 201</w:t>
      </w:r>
      <w:r w:rsidRPr="00B13D30">
        <w:rPr>
          <w:rStyle w:val="Rimandonotaapidipagina"/>
          <w:sz w:val="18"/>
          <w:szCs w:val="18"/>
          <w:vertAlign w:val="superscript"/>
        </w:rPr>
        <w:footnoteReference w:id="28"/>
      </w:r>
      <w:r w:rsidRPr="0038349C">
        <w:rPr>
          <w:rFonts w:ascii="Bookman Old Style" w:hAnsi="Bookman Old Style"/>
        </w:rPr>
        <w:t xml:space="preserve">. A tal fine si stabilisce che l’ammontare delle rate scadenti prima del 1° dicembre dell’anno di riferimento sono determinate in misura complessivamente pari al </w:t>
      </w:r>
      <w:r w:rsidRPr="00A01275">
        <w:rPr>
          <w:rFonts w:ascii="Bookman Old Style" w:hAnsi="Bookman Old Style"/>
          <w:b/>
          <w:color w:val="FF0000"/>
        </w:rPr>
        <w:t>[specificare la percentuale]</w:t>
      </w:r>
      <w:r w:rsidRPr="0038349C">
        <w:rPr>
          <w:rFonts w:ascii="Bookman Old Style" w:hAnsi="Bookman Old Style"/>
        </w:rPr>
        <w:t xml:space="preserve"> del totale del tributo dovuto sulla base degli atti vigenti nell’anno precedente, tenuto conto della situazione del contribuente nell’anno di competenza del tributo. L’importo complessivo del tributo annuo dovuto da versare è arrotondato all’euro superiore o inferiore a seconda che le cifre decimali siano superiori o inferiori/pari a 49 centesimi, in base a quanto previsto dal comma 166, art. 1, della </w:t>
      </w:r>
      <w:r>
        <w:rPr>
          <w:rFonts w:ascii="Bookman Old Style" w:hAnsi="Bookman Old Style"/>
        </w:rPr>
        <w:t xml:space="preserve">legge 27 dicembre </w:t>
      </w:r>
      <w:r w:rsidRPr="0038349C">
        <w:rPr>
          <w:rFonts w:ascii="Bookman Old Style" w:hAnsi="Bookman Old Style"/>
        </w:rPr>
        <w:t>2006, n. 296. L’arrotondamento, nel caso di impiego del modello F24, deve essere operato per ogni codice tributo.</w:t>
      </w:r>
      <w:r>
        <w:rPr>
          <w:rFonts w:ascii="Bookman Old Style" w:hAnsi="Bookman Old Style"/>
        </w:rPr>
        <w:t xml:space="preserve"> </w:t>
      </w:r>
      <w:r w:rsidRPr="00EE4325">
        <w:rPr>
          <w:rFonts w:ascii="Bookman Old Style" w:hAnsi="Bookman Old Style"/>
          <w:b/>
          <w:bCs/>
        </w:rPr>
        <w:t>L’avviso di pagamento deve essere emesso almeno 20 giorni solari antecedenti la scadenza di pagamento</w:t>
      </w:r>
      <w:r>
        <w:rPr>
          <w:rFonts w:ascii="Bookman Old Style" w:hAnsi="Bookman Old Style"/>
          <w:b/>
          <w:bCs/>
        </w:rPr>
        <w:t xml:space="preserve"> della prima rata</w:t>
      </w:r>
      <w:r w:rsidRPr="00EE4325">
        <w:rPr>
          <w:rFonts w:ascii="Bookman Old Style" w:hAnsi="Bookman Old Style"/>
          <w:b/>
          <w:bCs/>
        </w:rPr>
        <w:t xml:space="preserve">. </w:t>
      </w:r>
      <w:r>
        <w:rPr>
          <w:rFonts w:ascii="Bookman Old Style" w:hAnsi="Bookman Old Style"/>
          <w:b/>
          <w:bCs/>
        </w:rPr>
        <w:t>È facoltà del contribuente versare la TARI in un'unica soluzione, avente scadenza coincidente con quella della prima rata. In caso di disguidi o ritardi nella ricezione degli avvisi bonari, fermo restando le scadenze di pagamento deliberate del Comune</w:t>
      </w:r>
      <w:r w:rsidRPr="00B13D30">
        <w:rPr>
          <w:rStyle w:val="Rimandonotaapidipagina"/>
          <w:b/>
          <w:bCs/>
          <w:sz w:val="18"/>
          <w:szCs w:val="18"/>
          <w:vertAlign w:val="superscript"/>
        </w:rPr>
        <w:footnoteReference w:id="29"/>
      </w:r>
      <w:r>
        <w:rPr>
          <w:rFonts w:ascii="Bookman Old Style" w:hAnsi="Bookman Old Style"/>
          <w:b/>
          <w:bCs/>
        </w:rPr>
        <w:t>, il contribuente può richiedere l’invio dei predetti avvisi tramite posta elettronica o può ritirarli presso l’Ufficio TARI del Comune.</w:t>
      </w:r>
      <w:r w:rsidRPr="009543FA">
        <w:rPr>
          <w:rStyle w:val="Rimandonotaapidipagina"/>
          <w:b/>
          <w:bCs/>
          <w:sz w:val="18"/>
          <w:szCs w:val="18"/>
          <w:vertAlign w:val="superscript"/>
        </w:rPr>
        <w:footnoteReference w:id="30"/>
      </w:r>
      <w:r w:rsidRPr="00EE4325">
        <w:rPr>
          <w:rFonts w:ascii="Bookman Old Style" w:hAnsi="Bookman Old Style"/>
          <w:b/>
          <w:bCs/>
        </w:rPr>
        <w:t xml:space="preserve"> </w:t>
      </w:r>
    </w:p>
    <w:p w14:paraId="0AF284C2" w14:textId="6E72FB31" w:rsidR="00147AE8" w:rsidRPr="0038349C" w:rsidRDefault="00147AE8" w:rsidP="00147AE8">
      <w:pPr>
        <w:spacing w:after="40" w:line="257" w:lineRule="auto"/>
        <w:ind w:left="502" w:firstLine="0"/>
        <w:jc w:val="both"/>
        <w:rPr>
          <w:rFonts w:ascii="Bookman Old Style" w:hAnsi="Bookman Old Style"/>
        </w:rPr>
      </w:pPr>
      <w:r w:rsidRPr="0038349C">
        <w:rPr>
          <w:rFonts w:ascii="Bookman Old Style" w:hAnsi="Bookman Old Style"/>
        </w:rPr>
        <w:t>4.</w:t>
      </w:r>
      <w:r w:rsidR="00297930">
        <w:rPr>
          <w:rFonts w:ascii="Bookman Old Style" w:hAnsi="Bookman Old Style"/>
        </w:rPr>
        <w:t xml:space="preserve"> </w:t>
      </w:r>
      <w:r w:rsidRPr="0038349C">
        <w:rPr>
          <w:rFonts w:ascii="Bookman Old Style" w:hAnsi="Bookman Old Style"/>
        </w:rPr>
        <w:t xml:space="preserve">Il versamento del tributo non è dovuto quando l'importo annuale risulta inferiore a euro </w:t>
      </w:r>
      <w:r w:rsidRPr="00A01275">
        <w:rPr>
          <w:rFonts w:ascii="Bookman Old Style" w:hAnsi="Bookman Old Style"/>
          <w:b/>
          <w:color w:val="FF0000"/>
        </w:rPr>
        <w:t>[in mancanza il limite è di 12 euro]</w:t>
      </w:r>
      <w:r w:rsidRPr="009543FA">
        <w:rPr>
          <w:rStyle w:val="Rimandonotaapidipagina"/>
          <w:sz w:val="18"/>
          <w:szCs w:val="18"/>
          <w:vertAlign w:val="superscript"/>
        </w:rPr>
        <w:footnoteReference w:id="31"/>
      </w:r>
      <w:r w:rsidRPr="0038349C">
        <w:rPr>
          <w:rFonts w:ascii="Bookman Old Style" w:hAnsi="Bookman Old Style"/>
        </w:rPr>
        <w:t>. Analogamente non si procede al rimborso per somme inferiori al predetto importo.</w:t>
      </w:r>
    </w:p>
    <w:p w14:paraId="14DBAD38" w14:textId="54B2BEBB" w:rsidR="00147AE8" w:rsidRPr="0038349C" w:rsidRDefault="00147AE8" w:rsidP="00147AE8">
      <w:pPr>
        <w:spacing w:after="40" w:line="257" w:lineRule="auto"/>
        <w:ind w:left="502" w:firstLine="0"/>
        <w:jc w:val="both"/>
        <w:rPr>
          <w:rFonts w:ascii="Bookman Old Style" w:hAnsi="Bookman Old Style"/>
        </w:rPr>
      </w:pPr>
      <w:r w:rsidRPr="0038349C">
        <w:rPr>
          <w:rFonts w:ascii="Bookman Old Style" w:hAnsi="Bookman Old Style"/>
        </w:rPr>
        <w:t>5.</w:t>
      </w:r>
      <w:r w:rsidR="00297930">
        <w:rPr>
          <w:rFonts w:ascii="Bookman Old Style" w:hAnsi="Bookman Old Style"/>
        </w:rPr>
        <w:t xml:space="preserve"> </w:t>
      </w:r>
      <w:r w:rsidRPr="0038349C">
        <w:rPr>
          <w:rFonts w:ascii="Bookman Old Style" w:hAnsi="Bookman Old Style"/>
        </w:rPr>
        <w:t>Le modifiche inerenti alle caratteristiche dell’utenza, che comportino variazioni in corso d’anno del tributo, potranno essere conteggiate nel tributo relativo all’anno successivo anche mediante conguaglio compensativo.</w:t>
      </w:r>
    </w:p>
    <w:p w14:paraId="4A90ED4C" w14:textId="066EAB11" w:rsidR="00147AE8" w:rsidRDefault="00147AE8" w:rsidP="00147AE8">
      <w:pPr>
        <w:spacing w:after="40" w:line="257" w:lineRule="auto"/>
        <w:ind w:left="502" w:firstLine="0"/>
        <w:jc w:val="both"/>
        <w:rPr>
          <w:rFonts w:ascii="Bookman Old Style" w:hAnsi="Bookman Old Style"/>
        </w:rPr>
      </w:pPr>
      <w:r w:rsidRPr="0038349C">
        <w:rPr>
          <w:rFonts w:ascii="Bookman Old Style" w:hAnsi="Bookman Old Style"/>
        </w:rPr>
        <w:t>6.</w:t>
      </w:r>
      <w:r w:rsidR="00297930">
        <w:rPr>
          <w:rFonts w:ascii="Bookman Old Style" w:hAnsi="Bookman Old Style"/>
        </w:rPr>
        <w:t xml:space="preserve"> </w:t>
      </w:r>
      <w:r w:rsidRPr="0038349C">
        <w:rPr>
          <w:rFonts w:ascii="Bookman Old Style" w:hAnsi="Bookman Old Style"/>
        </w:rPr>
        <w:t>In caso di mancato o parziale versamento dell’importo richiesto alle prescritte scadenze, il Comune provvede alla notifica, anche mediante servizio postale con raccomandata con ricevuta di ritorno o posta elettronica certificata, di un sollecito di versamento, contenente le somme da versare in unica soluzione entro il termine ivi indicato</w:t>
      </w:r>
      <w:r w:rsidRPr="005327D4">
        <w:rPr>
          <w:rStyle w:val="Rimandonotaapidipagina"/>
          <w:sz w:val="18"/>
          <w:szCs w:val="18"/>
          <w:vertAlign w:val="superscript"/>
        </w:rPr>
        <w:footnoteReference w:id="32"/>
      </w:r>
      <w:r w:rsidRPr="0038349C">
        <w:rPr>
          <w:rFonts w:ascii="Bookman Old Style" w:hAnsi="Bookman Old Style"/>
        </w:rPr>
        <w:t xml:space="preserve">. In mancanza, si procederà alla notifica dell’avviso di accertamento </w:t>
      </w:r>
      <w:r w:rsidRPr="0038349C">
        <w:rPr>
          <w:rFonts w:ascii="Bookman Old Style" w:hAnsi="Bookman Old Style"/>
        </w:rPr>
        <w:lastRenderedPageBreak/>
        <w:t>d’ufficio o in rettifica, come indicato nel successivo art</w:t>
      </w:r>
      <w:r>
        <w:rPr>
          <w:rFonts w:ascii="Bookman Old Style" w:hAnsi="Bookman Old Style"/>
        </w:rPr>
        <w:t>icolo XY</w:t>
      </w:r>
      <w:r w:rsidRPr="0038349C">
        <w:rPr>
          <w:rFonts w:ascii="Bookman Old Style" w:hAnsi="Bookman Old Style"/>
        </w:rPr>
        <w:t xml:space="preserve">, con irrogazione delle sanzioni previste dall’art. 1, comma 695 della </w:t>
      </w:r>
      <w:r>
        <w:rPr>
          <w:rFonts w:ascii="Bookman Old Style" w:hAnsi="Bookman Old Style"/>
        </w:rPr>
        <w:t>l</w:t>
      </w:r>
      <w:r w:rsidRPr="0038349C">
        <w:rPr>
          <w:rFonts w:ascii="Bookman Old Style" w:hAnsi="Bookman Old Style"/>
        </w:rPr>
        <w:t>egge 27</w:t>
      </w:r>
      <w:r>
        <w:rPr>
          <w:rFonts w:ascii="Bookman Old Style" w:hAnsi="Bookman Old Style"/>
        </w:rPr>
        <w:t xml:space="preserve"> dicembre </w:t>
      </w:r>
      <w:r w:rsidRPr="0038349C">
        <w:rPr>
          <w:rFonts w:ascii="Bookman Old Style" w:hAnsi="Bookman Old Style"/>
        </w:rPr>
        <w:t xml:space="preserve">2013, n. 147 e l’applicazione degli interessi di mora la cui misura è definita nel regolamento comunale sulle entrate, calcolati ai sensi del comma 165 dell’articolo 1 della legge </w:t>
      </w:r>
      <w:r>
        <w:rPr>
          <w:rFonts w:ascii="Bookman Old Style" w:hAnsi="Bookman Old Style"/>
        </w:rPr>
        <w:t xml:space="preserve">27 dicembre 2006, n. </w:t>
      </w:r>
      <w:r w:rsidRPr="0038349C">
        <w:rPr>
          <w:rFonts w:ascii="Bookman Old Style" w:hAnsi="Bookman Old Style"/>
        </w:rPr>
        <w:t xml:space="preserve">296, nella misura corrispondente al tasso di interesse legale variato di </w:t>
      </w:r>
      <w:r w:rsidRPr="00A01275">
        <w:rPr>
          <w:rFonts w:ascii="Bookman Old Style" w:hAnsi="Bookman Old Style"/>
          <w:b/>
          <w:color w:val="FF0000"/>
        </w:rPr>
        <w:t>[specificare: max 3 punti percentuale]</w:t>
      </w:r>
      <w:r w:rsidRPr="0038349C">
        <w:rPr>
          <w:rFonts w:ascii="Bookman Old Style" w:hAnsi="Bookman Old Style"/>
        </w:rPr>
        <w:t xml:space="preserve">. </w:t>
      </w:r>
    </w:p>
    <w:p w14:paraId="6B2D3AE5" w14:textId="40DC1480" w:rsidR="001A26C4" w:rsidRDefault="001A26C4">
      <w:pPr>
        <w:spacing w:after="40" w:line="276" w:lineRule="auto"/>
        <w:ind w:firstLine="0"/>
        <w:rPr>
          <w:rFonts w:ascii="Bookman Old Style" w:hAnsi="Bookman Old Style"/>
        </w:rPr>
      </w:pPr>
      <w:r>
        <w:rPr>
          <w:rFonts w:ascii="Bookman Old Style" w:hAnsi="Bookman Old Style"/>
        </w:rPr>
        <w:br w:type="page"/>
      </w:r>
    </w:p>
    <w:p w14:paraId="560B370F" w14:textId="77777777" w:rsidR="00147AE8" w:rsidRDefault="00147AE8" w:rsidP="00147AE8">
      <w:pPr>
        <w:spacing w:after="40" w:line="257" w:lineRule="auto"/>
        <w:ind w:left="502" w:firstLine="0"/>
        <w:jc w:val="both"/>
        <w:rPr>
          <w:rFonts w:ascii="Bookman Old Style" w:hAnsi="Bookman Old Style"/>
        </w:rPr>
      </w:pPr>
    </w:p>
    <w:p w14:paraId="4139462C" w14:textId="77777777" w:rsidR="00147AE8" w:rsidRDefault="00147AE8" w:rsidP="00147AE8">
      <w:pPr>
        <w:pStyle w:val="Titolo2"/>
        <w:rPr>
          <w:rFonts w:ascii="Bookman Old Style" w:hAnsi="Bookman Old Style"/>
          <w:sz w:val="22"/>
          <w:szCs w:val="22"/>
        </w:rPr>
      </w:pPr>
      <w:bookmarkStart w:id="10" w:name="_Toc121591190"/>
      <w:r w:rsidRPr="00644FDD">
        <w:rPr>
          <w:rFonts w:ascii="Bookman Old Style" w:hAnsi="Bookman Old Style"/>
          <w:sz w:val="22"/>
          <w:szCs w:val="22"/>
        </w:rPr>
        <w:t>Articolo X</w:t>
      </w:r>
      <w:r>
        <w:rPr>
          <w:rFonts w:ascii="Bookman Old Style" w:hAnsi="Bookman Old Style"/>
          <w:sz w:val="22"/>
          <w:szCs w:val="22"/>
        </w:rPr>
        <w:t>4</w:t>
      </w:r>
      <w:r w:rsidRPr="00644FDD">
        <w:rPr>
          <w:rFonts w:ascii="Bookman Old Style" w:hAnsi="Bookman Old Style"/>
          <w:sz w:val="22"/>
          <w:szCs w:val="22"/>
        </w:rPr>
        <w:t xml:space="preserve"> </w:t>
      </w:r>
      <w:r>
        <w:rPr>
          <w:rFonts w:ascii="Bookman Old Style" w:hAnsi="Bookman Old Style"/>
          <w:sz w:val="22"/>
          <w:szCs w:val="22"/>
        </w:rPr>
        <w:t>– Rateizzazione degli avvisi bonari TARI</w:t>
      </w:r>
      <w:bookmarkEnd w:id="10"/>
    </w:p>
    <w:p w14:paraId="4D45DDE0" w14:textId="14422254" w:rsidR="00147AE8" w:rsidRDefault="00147AE8" w:rsidP="00147AE8">
      <w:pPr>
        <w:shd w:val="clear" w:color="auto" w:fill="EEECE1" w:themeFill="background2"/>
        <w:ind w:firstLine="0"/>
        <w:jc w:val="both"/>
        <w:rPr>
          <w:rFonts w:ascii="Bookman Old Style" w:hAnsi="Bookman Old Style"/>
          <w:i/>
          <w:iCs/>
          <w:color w:val="000000" w:themeColor="text1"/>
        </w:rPr>
      </w:pPr>
      <w:r>
        <w:rPr>
          <w:rFonts w:ascii="Bookman Old Style" w:hAnsi="Bookman Old Style"/>
          <w:i/>
          <w:iCs/>
          <w:color w:val="000000" w:themeColor="text1"/>
        </w:rPr>
        <w:t>L’articolo recepisce le indicazioni di cui all’art. 27 del TQRIF. Si ritiene che non sussista alcun obbligo normativo di recepimento di tale articolo, ma sia una mera facoltà del Comune. La rateizzazione dell’avviso bonario rappresenta, infatti, una deroga ai termini di versamento stabiliti dalle delibere comunali, e non è contemplata dalla disciplina TARI recata dalla legge 147/2013. Peraltro, anche nel caso di recepimento non pare possibile applicare il tasso di riferimento fissato dalla Banca Centrale Europea, ma si ritiene di dover comunque far riferimento al tasso d’interesse legale, l’unico considerato dalla normativa tributaria come parametro di riferimento base</w:t>
      </w:r>
      <w:r w:rsidR="00185B36">
        <w:rPr>
          <w:rFonts w:ascii="Bookman Old Style" w:hAnsi="Bookman Old Style"/>
          <w:i/>
          <w:iCs/>
          <w:color w:val="000000" w:themeColor="text1"/>
        </w:rPr>
        <w:t>.</w:t>
      </w:r>
      <w:r>
        <w:rPr>
          <w:rFonts w:ascii="Bookman Old Style" w:hAnsi="Bookman Old Style"/>
          <w:i/>
          <w:iCs/>
          <w:color w:val="000000" w:themeColor="text1"/>
        </w:rPr>
        <w:t xml:space="preserve"> </w:t>
      </w:r>
      <w:r w:rsidR="00185B36">
        <w:rPr>
          <w:rFonts w:ascii="Bookman Old Style" w:hAnsi="Bookman Old Style"/>
          <w:i/>
          <w:iCs/>
          <w:color w:val="000000" w:themeColor="text1"/>
        </w:rPr>
        <w:t>Peraltro, gli interessi legali sono un accessorio dell’obbligazione tributaria, sicché si ritiene che in tale materia operi la competenza esclusiva dell’ente impositore, da esercitarsi nei limit</w:t>
      </w:r>
      <w:r w:rsidR="00F31EE5">
        <w:rPr>
          <w:rFonts w:ascii="Bookman Old Style" w:hAnsi="Bookman Old Style"/>
          <w:i/>
          <w:iCs/>
          <w:color w:val="000000" w:themeColor="text1"/>
        </w:rPr>
        <w:t>i individuati dalla legge stessa</w:t>
      </w:r>
      <w:r w:rsidR="00185B36">
        <w:rPr>
          <w:rFonts w:ascii="Bookman Old Style" w:hAnsi="Bookman Old Style"/>
          <w:i/>
          <w:iCs/>
          <w:color w:val="000000" w:themeColor="text1"/>
        </w:rPr>
        <w:t xml:space="preserve">, come nell’ipotesi degli interessi da applicare negli accertamenti, che possono essere aumentati o </w:t>
      </w:r>
      <w:r w:rsidR="00F31EE5">
        <w:rPr>
          <w:rFonts w:ascii="Bookman Old Style" w:hAnsi="Bookman Old Style"/>
          <w:i/>
          <w:iCs/>
          <w:color w:val="000000" w:themeColor="text1"/>
        </w:rPr>
        <w:t>diminuiti</w:t>
      </w:r>
      <w:r w:rsidR="00185B36">
        <w:rPr>
          <w:rFonts w:ascii="Bookman Old Style" w:hAnsi="Bookman Old Style"/>
          <w:i/>
          <w:iCs/>
          <w:color w:val="000000" w:themeColor="text1"/>
        </w:rPr>
        <w:t>, sempre con norma regolamentare, nel limite di tre punti percentuali</w:t>
      </w:r>
      <w:r w:rsidR="00185B36" w:rsidRPr="00920C1F">
        <w:rPr>
          <w:rStyle w:val="Rimandonotaapidipagina"/>
          <w:rFonts w:ascii="Bookman Old Style" w:hAnsi="Bookman Old Style"/>
          <w:i/>
          <w:iCs/>
          <w:color w:val="000000" w:themeColor="text1"/>
          <w:vertAlign w:val="subscript"/>
        </w:rPr>
        <w:footnoteReference w:id="33"/>
      </w:r>
      <w:r w:rsidR="00920C1F">
        <w:rPr>
          <w:rFonts w:ascii="Bookman Old Style" w:hAnsi="Bookman Old Style"/>
          <w:i/>
          <w:iCs/>
          <w:color w:val="000000" w:themeColor="text1"/>
        </w:rPr>
        <w:t>.</w:t>
      </w:r>
    </w:p>
    <w:p w14:paraId="0C5DB6B1" w14:textId="77777777" w:rsidR="00147AE8" w:rsidRDefault="00147AE8" w:rsidP="00147AE8">
      <w:pPr>
        <w:pStyle w:val="Paragrafoelenco"/>
        <w:ind w:left="0" w:firstLine="0"/>
        <w:jc w:val="both"/>
        <w:rPr>
          <w:rFonts w:ascii="Bookman Old Style" w:hAnsi="Bookman Old Style"/>
        </w:rPr>
      </w:pPr>
    </w:p>
    <w:p w14:paraId="02364F63" w14:textId="264D9E85" w:rsidR="00147AE8" w:rsidRPr="002526EF" w:rsidRDefault="00147AE8" w:rsidP="00147AE8">
      <w:pPr>
        <w:spacing w:after="40" w:line="257" w:lineRule="auto"/>
        <w:ind w:left="502" w:firstLine="0"/>
        <w:jc w:val="both"/>
        <w:rPr>
          <w:rFonts w:ascii="Bookman Old Style" w:hAnsi="Bookman Old Style"/>
          <w:b/>
          <w:bCs/>
        </w:rPr>
      </w:pPr>
      <w:r w:rsidRPr="002526EF">
        <w:rPr>
          <w:rFonts w:ascii="Bookman Old Style" w:hAnsi="Bookman Old Style"/>
          <w:b/>
          <w:bCs/>
        </w:rPr>
        <w:t>1. Gli avvisi di pagamento di cui all’articolo X3 possono</w:t>
      </w:r>
      <w:r w:rsidR="00920C1F">
        <w:rPr>
          <w:rFonts w:ascii="Bookman Old Style" w:hAnsi="Bookman Old Style"/>
          <w:b/>
          <w:bCs/>
        </w:rPr>
        <w:t xml:space="preserve"> essere,</w:t>
      </w:r>
      <w:r w:rsidRPr="002526EF">
        <w:rPr>
          <w:rFonts w:ascii="Bookman Old Style" w:hAnsi="Bookman Old Style"/>
          <w:b/>
          <w:bCs/>
        </w:rPr>
        <w:t xml:space="preserve"> a richiesta del contribuente, ulteriormente rateizzati alle seguenti condizioni:</w:t>
      </w:r>
    </w:p>
    <w:p w14:paraId="78904D72" w14:textId="77777777" w:rsidR="00147AE8" w:rsidRPr="002526EF" w:rsidRDefault="00147AE8" w:rsidP="00147AE8">
      <w:pPr>
        <w:spacing w:after="40" w:line="257" w:lineRule="auto"/>
        <w:ind w:left="502" w:firstLine="0"/>
        <w:jc w:val="both"/>
        <w:rPr>
          <w:rFonts w:ascii="Bookman Old Style" w:hAnsi="Bookman Old Style"/>
          <w:b/>
          <w:bCs/>
        </w:rPr>
      </w:pPr>
      <w:r w:rsidRPr="002526EF">
        <w:rPr>
          <w:rFonts w:ascii="Bookman Old Style" w:hAnsi="Bookman Old Style"/>
          <w:b/>
          <w:bCs/>
        </w:rPr>
        <w:t>a)</w:t>
      </w:r>
      <w:r w:rsidRPr="002526EF">
        <w:rPr>
          <w:rFonts w:ascii="Bookman Old Style" w:hAnsi="Bookman Old Style"/>
          <w:b/>
          <w:bCs/>
        </w:rPr>
        <w:tab/>
        <w:t xml:space="preserve"> l’ulteriore rateizzazione può essere concessa ai contribuenti che dichiarino mediante autocertificazione ai sensi del decreto del Presidente della Repubblica 28 dicembre 2000, n. 445 di essere beneficiari del bonus sociale per disagio economico previsto per i settori elettrico e/o gas e/o per il settore idrico, ovvero ai contribuenti con un ISEE non superiore ad euro………….</w:t>
      </w:r>
      <w:r w:rsidRPr="0030715C">
        <w:rPr>
          <w:rStyle w:val="Rimandonotaapidipagina"/>
          <w:b/>
          <w:bCs/>
          <w:sz w:val="18"/>
          <w:szCs w:val="18"/>
          <w:vertAlign w:val="superscript"/>
        </w:rPr>
        <w:footnoteReference w:id="34"/>
      </w:r>
      <w:r w:rsidRPr="002526EF">
        <w:rPr>
          <w:rFonts w:ascii="Bookman Old Style" w:hAnsi="Bookman Old Style"/>
          <w:b/>
          <w:bCs/>
        </w:rPr>
        <w:t>;</w:t>
      </w:r>
    </w:p>
    <w:p w14:paraId="52F80F5E" w14:textId="77777777" w:rsidR="00147AE8" w:rsidRDefault="00147AE8" w:rsidP="00147AE8">
      <w:pPr>
        <w:spacing w:after="40" w:line="257" w:lineRule="auto"/>
        <w:ind w:left="502" w:firstLine="0"/>
        <w:jc w:val="both"/>
        <w:rPr>
          <w:rFonts w:ascii="Bookman Old Style" w:hAnsi="Bookman Old Style"/>
          <w:b/>
          <w:bCs/>
        </w:rPr>
      </w:pPr>
      <w:r w:rsidRPr="002526EF">
        <w:rPr>
          <w:rFonts w:ascii="Bookman Old Style" w:hAnsi="Bookman Old Style"/>
          <w:b/>
          <w:bCs/>
        </w:rPr>
        <w:t>b) l’ulteriore rateizzazione può essere concessa anche ai contribuenti che registrano, a parità di presupposto imponibile, un incremento della TARI superiore del 30% rispetto all’importo medio pagato nei due anni antecedenti a quello di riferimento;</w:t>
      </w:r>
    </w:p>
    <w:p w14:paraId="14171326" w14:textId="5ED65CDF" w:rsidR="00147AE8" w:rsidRDefault="00147AE8" w:rsidP="00147AE8">
      <w:pPr>
        <w:spacing w:after="40" w:line="257" w:lineRule="auto"/>
        <w:ind w:left="502" w:firstLine="0"/>
        <w:jc w:val="both"/>
        <w:rPr>
          <w:rFonts w:ascii="Bookman Old Style" w:hAnsi="Bookman Old Style"/>
          <w:b/>
          <w:bCs/>
        </w:rPr>
      </w:pPr>
      <w:r w:rsidRPr="002526EF">
        <w:rPr>
          <w:rFonts w:ascii="Bookman Old Style" w:hAnsi="Bookman Old Style"/>
          <w:b/>
          <w:bCs/>
        </w:rPr>
        <w:t>c) l’import</w:t>
      </w:r>
      <w:r w:rsidR="00920C1F">
        <w:rPr>
          <w:rFonts w:ascii="Bookman Old Style" w:hAnsi="Bookman Old Style"/>
          <w:b/>
          <w:bCs/>
        </w:rPr>
        <w:t>o di ogni singola ulteriore rata</w:t>
      </w:r>
      <w:r w:rsidRPr="002526EF">
        <w:rPr>
          <w:rFonts w:ascii="Bookman Old Style" w:hAnsi="Bookman Old Style"/>
          <w:b/>
          <w:bCs/>
        </w:rPr>
        <w:t xml:space="preserve"> non può essere inferiore a 100 euro </w:t>
      </w:r>
      <w:r w:rsidRPr="00467D12">
        <w:rPr>
          <w:rFonts w:ascii="Bookman Old Style" w:hAnsi="Bookman Old Style"/>
          <w:b/>
          <w:bCs/>
          <w:color w:val="FF0000"/>
        </w:rPr>
        <w:t>[o altro minore importo deciso dal Comune]</w:t>
      </w:r>
      <w:r w:rsidR="00A75FB2">
        <w:rPr>
          <w:rFonts w:ascii="Bookman Old Style" w:hAnsi="Bookman Old Style"/>
          <w:b/>
          <w:bCs/>
        </w:rPr>
        <w:t>;</w:t>
      </w:r>
    </w:p>
    <w:p w14:paraId="47779B7C" w14:textId="1802BBE9" w:rsidR="00A75FB2" w:rsidRDefault="00A75FB2" w:rsidP="00147AE8">
      <w:pPr>
        <w:spacing w:after="40" w:line="257" w:lineRule="auto"/>
        <w:ind w:left="502" w:firstLine="0"/>
        <w:jc w:val="both"/>
        <w:rPr>
          <w:rFonts w:ascii="Bookman Old Style" w:hAnsi="Bookman Old Style"/>
          <w:b/>
          <w:bCs/>
        </w:rPr>
      </w:pPr>
      <w:r>
        <w:rPr>
          <w:rFonts w:ascii="Bookman Old Style" w:hAnsi="Bookman Old Style"/>
          <w:b/>
          <w:bCs/>
        </w:rPr>
        <w:t>d) la richiesta di ulteriore rateizzazione deve essere presentata non oltre dieci giorni antecedenti la scadenza dell’importo che si intende rateizzare</w:t>
      </w:r>
      <w:r w:rsidRPr="0030715C">
        <w:rPr>
          <w:rStyle w:val="Rimandonotaapidipagina"/>
          <w:rFonts w:ascii="Bookman Old Style" w:hAnsi="Bookman Old Style"/>
          <w:b/>
          <w:bCs/>
          <w:sz w:val="18"/>
          <w:szCs w:val="18"/>
          <w:vertAlign w:val="superscript"/>
        </w:rPr>
        <w:footnoteReference w:id="35"/>
      </w:r>
      <w:r>
        <w:rPr>
          <w:rFonts w:ascii="Bookman Old Style" w:hAnsi="Bookman Old Style"/>
          <w:b/>
          <w:bCs/>
        </w:rPr>
        <w:t>;</w:t>
      </w:r>
    </w:p>
    <w:p w14:paraId="3BEF906B" w14:textId="56BC3326" w:rsidR="00A75FB2" w:rsidRPr="00A75FB2" w:rsidRDefault="00A75FB2" w:rsidP="00147AE8">
      <w:pPr>
        <w:spacing w:after="40" w:line="257" w:lineRule="auto"/>
        <w:ind w:left="502" w:firstLine="0"/>
        <w:jc w:val="both"/>
        <w:rPr>
          <w:rFonts w:ascii="Bookman Old Style" w:hAnsi="Bookman Old Style"/>
          <w:b/>
          <w:bCs/>
        </w:rPr>
      </w:pPr>
      <w:r>
        <w:rPr>
          <w:rFonts w:ascii="Bookman Old Style" w:hAnsi="Bookman Old Style"/>
          <w:b/>
          <w:bCs/>
        </w:rPr>
        <w:t>e) la scadenza delle ulteriori rate non può superare la scadenza ordinaria successiva</w:t>
      </w:r>
      <w:r w:rsidRPr="00B759CD">
        <w:rPr>
          <w:rStyle w:val="Rimandonotaapidipagina"/>
          <w:rFonts w:ascii="Bookman Old Style" w:hAnsi="Bookman Old Style"/>
          <w:b/>
          <w:bCs/>
          <w:sz w:val="18"/>
          <w:szCs w:val="18"/>
          <w:vertAlign w:val="superscript"/>
        </w:rPr>
        <w:footnoteReference w:id="36"/>
      </w:r>
      <w:r>
        <w:rPr>
          <w:rFonts w:ascii="Bookman Old Style" w:hAnsi="Bookman Old Style"/>
          <w:b/>
          <w:bCs/>
        </w:rPr>
        <w:t>;</w:t>
      </w:r>
    </w:p>
    <w:p w14:paraId="20B86E5B" w14:textId="4D07C070" w:rsidR="00A75FB2" w:rsidRDefault="00A75FB2" w:rsidP="00A75FB2">
      <w:pPr>
        <w:spacing w:after="40" w:line="257" w:lineRule="auto"/>
        <w:ind w:left="502" w:firstLine="0"/>
        <w:jc w:val="both"/>
        <w:rPr>
          <w:rFonts w:ascii="Bookman Old Style" w:hAnsi="Bookman Old Style"/>
          <w:b/>
          <w:bCs/>
        </w:rPr>
      </w:pPr>
      <w:r>
        <w:rPr>
          <w:rFonts w:ascii="Bookman Old Style" w:hAnsi="Bookman Old Style"/>
          <w:b/>
          <w:bCs/>
        </w:rPr>
        <w:t xml:space="preserve">f) sull’importo soggetto ad ulteriore rateizzazione sono applicati gli interessi legali vigenti durante il periodo di rateizzazione </w:t>
      </w:r>
      <w:r w:rsidRPr="00467D12">
        <w:rPr>
          <w:rFonts w:ascii="Bookman Old Style" w:hAnsi="Bookman Old Style"/>
          <w:b/>
          <w:bCs/>
          <w:color w:val="FF0000"/>
        </w:rPr>
        <w:t>[</w:t>
      </w:r>
      <w:r>
        <w:rPr>
          <w:rFonts w:ascii="Bookman Old Style" w:hAnsi="Bookman Old Style"/>
          <w:b/>
          <w:bCs/>
          <w:color w:val="FF0000"/>
        </w:rPr>
        <w:t>facoltativo, potendo il Comune non prevedere l’applicazione degli interessi</w:t>
      </w:r>
      <w:r w:rsidRPr="00467D12">
        <w:rPr>
          <w:rFonts w:ascii="Bookman Old Style" w:hAnsi="Bookman Old Style"/>
          <w:b/>
          <w:bCs/>
          <w:color w:val="FF0000"/>
        </w:rPr>
        <w:t>]</w:t>
      </w:r>
      <w:r>
        <w:rPr>
          <w:rFonts w:ascii="Bookman Old Style" w:hAnsi="Bookman Old Style"/>
          <w:b/>
          <w:bCs/>
        </w:rPr>
        <w:t>;</w:t>
      </w:r>
    </w:p>
    <w:p w14:paraId="60B5B0D9" w14:textId="482B9C0C" w:rsidR="00920C1F" w:rsidRDefault="00920C1F" w:rsidP="00A75FB2">
      <w:pPr>
        <w:spacing w:after="40" w:line="257" w:lineRule="auto"/>
        <w:ind w:left="502" w:firstLine="0"/>
        <w:jc w:val="both"/>
        <w:rPr>
          <w:rFonts w:ascii="Bookman Old Style" w:hAnsi="Bookman Old Style"/>
          <w:b/>
          <w:bCs/>
        </w:rPr>
      </w:pPr>
      <w:r>
        <w:rPr>
          <w:rFonts w:ascii="Bookman Old Style" w:hAnsi="Bookman Old Style"/>
          <w:b/>
          <w:bCs/>
        </w:rPr>
        <w:t>g) in caso di mancato pagamento delle ulteriori rate, il contribuente si intende decaduto dal beneficio della</w:t>
      </w:r>
      <w:r w:rsidR="00DE5518">
        <w:rPr>
          <w:rFonts w:ascii="Bookman Old Style" w:hAnsi="Bookman Old Style"/>
          <w:b/>
          <w:bCs/>
        </w:rPr>
        <w:t xml:space="preserve"> ulteriore</w:t>
      </w:r>
      <w:r>
        <w:rPr>
          <w:rFonts w:ascii="Bookman Old Style" w:hAnsi="Bookman Old Style"/>
          <w:b/>
          <w:bCs/>
        </w:rPr>
        <w:t xml:space="preserve"> rateizzazione, fermo restando che, perdurando l’omesso versamento della TARI, ai fini della notifica dell’atto di </w:t>
      </w:r>
      <w:r>
        <w:rPr>
          <w:rFonts w:ascii="Bookman Old Style" w:hAnsi="Bookman Old Style"/>
          <w:b/>
          <w:bCs/>
        </w:rPr>
        <w:lastRenderedPageBreak/>
        <w:t xml:space="preserve">accertamento esecutivo di cui all’articolo 1, comma 792, legge </w:t>
      </w:r>
      <w:r w:rsidR="00DE5518">
        <w:rPr>
          <w:rFonts w:ascii="Bookman Old Style" w:hAnsi="Bookman Old Style"/>
          <w:b/>
          <w:bCs/>
        </w:rPr>
        <w:t>27 dicembre 2019, n. 160, la data cui riferire l’omesso versamento</w:t>
      </w:r>
      <w:r w:rsidR="00F31EE5">
        <w:rPr>
          <w:rFonts w:ascii="Bookman Old Style" w:hAnsi="Bookman Old Style"/>
          <w:b/>
          <w:bCs/>
        </w:rPr>
        <w:t>,</w:t>
      </w:r>
      <w:r w:rsidR="00DE5518">
        <w:rPr>
          <w:rFonts w:ascii="Bookman Old Style" w:hAnsi="Bookman Old Style"/>
          <w:b/>
          <w:bCs/>
        </w:rPr>
        <w:t xml:space="preserve"> ai fini del calcolo degli interessi moratori di cui all’articolo 1, comma 165, legge 27 dicembre 2006, n. 296, rimane la data di scadenza ordinaria deliberata dal C</w:t>
      </w:r>
      <w:r w:rsidR="007D1BE2">
        <w:rPr>
          <w:rFonts w:ascii="Bookman Old Style" w:hAnsi="Bookman Old Style"/>
          <w:b/>
          <w:bCs/>
        </w:rPr>
        <w:t>omune;</w:t>
      </w:r>
    </w:p>
    <w:p w14:paraId="66630D0E" w14:textId="5B9AF58D" w:rsidR="007D1BE2" w:rsidRDefault="007D1BE2" w:rsidP="00A75FB2">
      <w:pPr>
        <w:spacing w:after="40" w:line="257" w:lineRule="auto"/>
        <w:ind w:left="502" w:firstLine="0"/>
        <w:jc w:val="both"/>
        <w:rPr>
          <w:rFonts w:ascii="Bookman Old Style" w:hAnsi="Bookman Old Style"/>
          <w:b/>
          <w:bCs/>
        </w:rPr>
      </w:pPr>
      <w:r>
        <w:rPr>
          <w:rFonts w:ascii="Bookman Old Style" w:hAnsi="Bookman Old Style"/>
          <w:b/>
          <w:bCs/>
        </w:rPr>
        <w:t xml:space="preserve">h) </w:t>
      </w:r>
      <w:r w:rsidR="00F31EE5">
        <w:rPr>
          <w:rFonts w:ascii="Bookman Old Style" w:hAnsi="Bookman Old Style"/>
          <w:b/>
          <w:bCs/>
        </w:rPr>
        <w:t>nel</w:t>
      </w:r>
      <w:r>
        <w:rPr>
          <w:rFonts w:ascii="Bookman Old Style" w:hAnsi="Bookman Old Style"/>
          <w:b/>
          <w:bCs/>
        </w:rPr>
        <w:t xml:space="preserve"> caso di ritardati versamenti imputabili ad omissioni o ritardi del Comune si applica quanto previsto dall’articolo 10, comma 2, legge 27 luglio 2000, n. 212</w:t>
      </w:r>
      <w:r w:rsidR="00EA5A59" w:rsidRPr="00E617C3">
        <w:rPr>
          <w:rStyle w:val="Rimandonotaapidipagina"/>
          <w:rFonts w:ascii="Bookman Old Style" w:hAnsi="Bookman Old Style"/>
          <w:b/>
          <w:bCs/>
          <w:sz w:val="18"/>
          <w:szCs w:val="18"/>
          <w:vertAlign w:val="superscript"/>
        </w:rPr>
        <w:footnoteReference w:id="37"/>
      </w:r>
      <w:r w:rsidR="00E617C3">
        <w:rPr>
          <w:rFonts w:ascii="Bookman Old Style" w:hAnsi="Bookman Old Style"/>
          <w:b/>
          <w:bCs/>
        </w:rPr>
        <w:t>.</w:t>
      </w:r>
    </w:p>
    <w:p w14:paraId="544667B4" w14:textId="13200ED0" w:rsidR="00147AE8" w:rsidRPr="002526EF" w:rsidRDefault="00147AE8" w:rsidP="00147AE8">
      <w:pPr>
        <w:spacing w:after="40" w:line="257" w:lineRule="auto"/>
        <w:ind w:left="502" w:firstLine="0"/>
        <w:jc w:val="both"/>
        <w:rPr>
          <w:rFonts w:ascii="Bookman Old Style" w:hAnsi="Bookman Old Style"/>
          <w:b/>
          <w:bCs/>
        </w:rPr>
      </w:pPr>
    </w:p>
    <w:p w14:paraId="2C05487F" w14:textId="69F0375B" w:rsidR="0040140E" w:rsidRDefault="0040140E">
      <w:pPr>
        <w:spacing w:after="40" w:line="276" w:lineRule="auto"/>
        <w:ind w:firstLine="0"/>
        <w:rPr>
          <w:rFonts w:ascii="Bookman Old Style" w:hAnsi="Bookman Old Style"/>
        </w:rPr>
      </w:pPr>
      <w:r>
        <w:rPr>
          <w:rFonts w:ascii="Bookman Old Style" w:hAnsi="Bookman Old Style"/>
        </w:rPr>
        <w:br w:type="page"/>
      </w:r>
    </w:p>
    <w:p w14:paraId="42D3ED3E" w14:textId="77777777" w:rsidR="00147AE8" w:rsidRDefault="00147AE8" w:rsidP="00147AE8">
      <w:pPr>
        <w:spacing w:after="40" w:line="257" w:lineRule="auto"/>
        <w:ind w:left="502" w:firstLine="0"/>
        <w:jc w:val="both"/>
        <w:rPr>
          <w:rFonts w:ascii="Bookman Old Style" w:hAnsi="Bookman Old Style"/>
        </w:rPr>
      </w:pPr>
    </w:p>
    <w:p w14:paraId="6E8D10D2" w14:textId="625F5A74" w:rsidR="0040140E" w:rsidRDefault="0040140E" w:rsidP="0040140E">
      <w:pPr>
        <w:pStyle w:val="Titolo2"/>
        <w:rPr>
          <w:rFonts w:ascii="Bookman Old Style" w:hAnsi="Bookman Old Style"/>
          <w:sz w:val="22"/>
          <w:szCs w:val="22"/>
        </w:rPr>
      </w:pPr>
      <w:bookmarkStart w:id="11" w:name="_Toc121591191"/>
      <w:r w:rsidRPr="00644FDD">
        <w:rPr>
          <w:rFonts w:ascii="Bookman Old Style" w:hAnsi="Bookman Old Style"/>
          <w:sz w:val="22"/>
          <w:szCs w:val="22"/>
        </w:rPr>
        <w:t>Articolo X</w:t>
      </w:r>
      <w:r w:rsidR="006913F5">
        <w:rPr>
          <w:rFonts w:ascii="Bookman Old Style" w:hAnsi="Bookman Old Style"/>
          <w:sz w:val="22"/>
          <w:szCs w:val="22"/>
        </w:rPr>
        <w:t>5</w:t>
      </w:r>
      <w:r w:rsidRPr="00644FDD">
        <w:rPr>
          <w:rFonts w:ascii="Bookman Old Style" w:hAnsi="Bookman Old Style"/>
          <w:sz w:val="22"/>
          <w:szCs w:val="22"/>
        </w:rPr>
        <w:t xml:space="preserve"> </w:t>
      </w:r>
      <w:r>
        <w:rPr>
          <w:rFonts w:ascii="Bookman Old Style" w:hAnsi="Bookman Old Style"/>
          <w:sz w:val="22"/>
          <w:szCs w:val="22"/>
        </w:rPr>
        <w:t>– R</w:t>
      </w:r>
      <w:r w:rsidR="006913F5">
        <w:rPr>
          <w:rFonts w:ascii="Bookman Old Style" w:hAnsi="Bookman Old Style"/>
          <w:sz w:val="22"/>
          <w:szCs w:val="22"/>
        </w:rPr>
        <w:t>imborsi e compensazione</w:t>
      </w:r>
      <w:bookmarkEnd w:id="11"/>
    </w:p>
    <w:p w14:paraId="34CB3396" w14:textId="3BB99C4F" w:rsidR="0040140E" w:rsidRDefault="0040140E" w:rsidP="0040140E">
      <w:pPr>
        <w:shd w:val="clear" w:color="auto" w:fill="EEECE1" w:themeFill="background2"/>
        <w:ind w:firstLine="0"/>
        <w:jc w:val="both"/>
        <w:rPr>
          <w:rFonts w:ascii="Bookman Old Style" w:hAnsi="Bookman Old Style"/>
          <w:i/>
          <w:iCs/>
          <w:color w:val="000000" w:themeColor="text1"/>
        </w:rPr>
      </w:pPr>
      <w:r>
        <w:rPr>
          <w:rFonts w:ascii="Bookman Old Style" w:hAnsi="Bookman Old Style"/>
          <w:i/>
          <w:iCs/>
          <w:color w:val="000000" w:themeColor="text1"/>
        </w:rPr>
        <w:t>L’articolo recepisce l</w:t>
      </w:r>
      <w:r w:rsidR="00F31EE5">
        <w:rPr>
          <w:rFonts w:ascii="Bookman Old Style" w:hAnsi="Bookman Old Style"/>
          <w:i/>
          <w:iCs/>
          <w:color w:val="000000" w:themeColor="text1"/>
        </w:rPr>
        <w:t>e indicazioni di cui all’art. 28</w:t>
      </w:r>
      <w:r>
        <w:rPr>
          <w:rFonts w:ascii="Bookman Old Style" w:hAnsi="Bookman Old Style"/>
          <w:i/>
          <w:iCs/>
          <w:color w:val="000000" w:themeColor="text1"/>
        </w:rPr>
        <w:t xml:space="preserve"> del TQRIF. Si ritiene che</w:t>
      </w:r>
      <w:r w:rsidR="00F31EE5">
        <w:rPr>
          <w:rFonts w:ascii="Bookman Old Style" w:hAnsi="Bookman Old Style"/>
          <w:i/>
          <w:iCs/>
          <w:color w:val="000000" w:themeColor="text1"/>
        </w:rPr>
        <w:t xml:space="preserve"> in tema di rimborsi il recepimento delle indicazioni di ARERA sia meramente facoltativo</w:t>
      </w:r>
      <w:r w:rsidR="00B75FBF">
        <w:rPr>
          <w:rFonts w:ascii="Bookman Old Style" w:hAnsi="Bookman Old Style"/>
          <w:i/>
          <w:iCs/>
          <w:color w:val="000000" w:themeColor="text1"/>
        </w:rPr>
        <w:t xml:space="preserve"> e vada attuato nei limiti dell’esercizio della potestà regolamentare.</w:t>
      </w:r>
    </w:p>
    <w:p w14:paraId="7286DF86" w14:textId="77777777" w:rsidR="0040140E" w:rsidRDefault="0040140E" w:rsidP="0040140E">
      <w:pPr>
        <w:pStyle w:val="Paragrafoelenco"/>
        <w:ind w:left="0" w:firstLine="0"/>
        <w:jc w:val="both"/>
        <w:rPr>
          <w:rFonts w:ascii="Bookman Old Style" w:hAnsi="Bookman Old Style"/>
        </w:rPr>
      </w:pPr>
    </w:p>
    <w:p w14:paraId="59E20461" w14:textId="639DB031" w:rsidR="00147AE8" w:rsidRPr="0038349C" w:rsidRDefault="007C754F" w:rsidP="00147AE8">
      <w:pPr>
        <w:spacing w:after="40" w:line="257" w:lineRule="auto"/>
        <w:ind w:left="502" w:firstLine="0"/>
        <w:jc w:val="both"/>
        <w:rPr>
          <w:rFonts w:ascii="Bookman Old Style" w:hAnsi="Bookman Old Style"/>
        </w:rPr>
      </w:pPr>
      <w:r>
        <w:rPr>
          <w:rFonts w:ascii="Bookman Old Style" w:hAnsi="Bookman Old Style"/>
        </w:rPr>
        <w:t xml:space="preserve">1. </w:t>
      </w:r>
      <w:r w:rsidR="00147AE8" w:rsidRPr="0038349C">
        <w:rPr>
          <w:rFonts w:ascii="Bookman Old Style" w:hAnsi="Bookman Old Style"/>
        </w:rPr>
        <w:t>La cessazion</w:t>
      </w:r>
      <w:r w:rsidR="00B75FBF">
        <w:rPr>
          <w:rFonts w:ascii="Bookman Old Style" w:hAnsi="Bookman Old Style"/>
        </w:rPr>
        <w:t>e dà diritto al rimborso della t</w:t>
      </w:r>
      <w:r w:rsidR="00147AE8" w:rsidRPr="0038349C">
        <w:rPr>
          <w:rFonts w:ascii="Bookman Old Style" w:hAnsi="Bookman Old Style"/>
        </w:rPr>
        <w:t>assa</w:t>
      </w:r>
      <w:r w:rsidR="00B75FBF">
        <w:rPr>
          <w:rFonts w:ascii="Bookman Old Style" w:hAnsi="Bookman Old Style"/>
        </w:rPr>
        <w:t xml:space="preserve"> rifiuti</w:t>
      </w:r>
      <w:r w:rsidR="00147AE8" w:rsidRPr="0038349C">
        <w:rPr>
          <w:rFonts w:ascii="Bookman Old Style" w:hAnsi="Bookman Old Style"/>
        </w:rPr>
        <w:t xml:space="preserve"> a decorrere dalla data nella quale questa è avvenuta. Se la dichiarazione di cessazione è stata presentata tardivamente, si prende a riferimento la data della sua presentazione, fatto salvo il diritto dell’interessato di provare l’insussistenza del presupposto impositivo per i periodi precedenti. </w:t>
      </w:r>
    </w:p>
    <w:p w14:paraId="4ECED9D9" w14:textId="0988CC99" w:rsidR="00147AE8" w:rsidRPr="0038349C" w:rsidRDefault="007C754F" w:rsidP="00147AE8">
      <w:pPr>
        <w:spacing w:after="40" w:line="257" w:lineRule="auto"/>
        <w:ind w:left="502" w:firstLine="0"/>
        <w:jc w:val="both"/>
        <w:rPr>
          <w:rFonts w:ascii="Bookman Old Style" w:hAnsi="Bookman Old Style"/>
        </w:rPr>
      </w:pPr>
      <w:r>
        <w:rPr>
          <w:rFonts w:ascii="Bookman Old Style" w:hAnsi="Bookman Old Style"/>
        </w:rPr>
        <w:t xml:space="preserve">2. </w:t>
      </w:r>
      <w:r w:rsidR="00147AE8" w:rsidRPr="0038349C">
        <w:rPr>
          <w:rFonts w:ascii="Bookman Old Style" w:hAnsi="Bookman Old Style"/>
        </w:rPr>
        <w:t xml:space="preserve">Il contribuente può richiedere al Comune il rimborso delle somme versate e non dovute, entro il termine di 5 anni dal giorno del pagamento ovvero da quello in cui è stato definitivamente accertato il diritto alla restituzione. </w:t>
      </w:r>
    </w:p>
    <w:p w14:paraId="70884726" w14:textId="4A3620AC" w:rsidR="00147AE8" w:rsidRPr="0038349C" w:rsidRDefault="007C754F" w:rsidP="00147AE8">
      <w:pPr>
        <w:spacing w:after="40" w:line="257" w:lineRule="auto"/>
        <w:ind w:left="502" w:firstLine="0"/>
        <w:jc w:val="both"/>
        <w:rPr>
          <w:rFonts w:ascii="Bookman Old Style" w:hAnsi="Bookman Old Style"/>
        </w:rPr>
      </w:pPr>
      <w:r>
        <w:rPr>
          <w:rFonts w:ascii="Bookman Old Style" w:hAnsi="Bookman Old Style"/>
        </w:rPr>
        <w:t xml:space="preserve">3. </w:t>
      </w:r>
      <w:r w:rsidR="00147AE8" w:rsidRPr="0038349C">
        <w:rPr>
          <w:rFonts w:ascii="Bookman Old Style" w:hAnsi="Bookman Old Style"/>
        </w:rPr>
        <w:t xml:space="preserve">Il Comune provvede ad effettuare il rimborso entro centottanta giorni </w:t>
      </w:r>
      <w:r w:rsidRPr="007C754F">
        <w:rPr>
          <w:rFonts w:ascii="Bookman Old Style" w:hAnsi="Bookman Old Style"/>
          <w:b/>
          <w:color w:val="FF0000"/>
        </w:rPr>
        <w:t>[in alternativa: entro 120 giorni lavorativi]</w:t>
      </w:r>
      <w:r w:rsidRPr="00CE64DA">
        <w:rPr>
          <w:rStyle w:val="Rimandonotaapidipagina"/>
          <w:rFonts w:ascii="Bookman Old Style" w:hAnsi="Bookman Old Style"/>
          <w:sz w:val="18"/>
          <w:szCs w:val="18"/>
          <w:vertAlign w:val="superscript"/>
        </w:rPr>
        <w:footnoteReference w:id="38"/>
      </w:r>
      <w:r w:rsidRPr="00B75FBF">
        <w:rPr>
          <w:rFonts w:ascii="Bookman Old Style" w:hAnsi="Bookman Old Style"/>
          <w:vertAlign w:val="superscript"/>
        </w:rPr>
        <w:t xml:space="preserve"> </w:t>
      </w:r>
      <w:r w:rsidR="00147AE8" w:rsidRPr="0038349C">
        <w:rPr>
          <w:rFonts w:ascii="Bookman Old Style" w:hAnsi="Bookman Old Style"/>
        </w:rPr>
        <w:t>dalla data di presentazione dell’istanza di rimborso. Sulle somme da rimborsare è corrisposto l’interesse pari al tasso legale maggiorato di due punti percentuali</w:t>
      </w:r>
      <w:r>
        <w:rPr>
          <w:rFonts w:ascii="Bookman Old Style" w:hAnsi="Bookman Old Style"/>
        </w:rPr>
        <w:t xml:space="preserve"> </w:t>
      </w:r>
      <w:r w:rsidRPr="007C754F">
        <w:rPr>
          <w:rFonts w:ascii="Bookman Old Style" w:hAnsi="Bookman Old Style"/>
          <w:b/>
          <w:color w:val="FF0000"/>
        </w:rPr>
        <w:t>[</w:t>
      </w:r>
      <w:r>
        <w:rPr>
          <w:rFonts w:ascii="Bookman Old Style" w:hAnsi="Bookman Old Style"/>
          <w:b/>
          <w:color w:val="FF0000"/>
        </w:rPr>
        <w:t>o altro tasso di interesse fissato per regolamento</w:t>
      </w:r>
      <w:r w:rsidRPr="007C754F">
        <w:rPr>
          <w:rFonts w:ascii="Bookman Old Style" w:hAnsi="Bookman Old Style"/>
          <w:b/>
          <w:color w:val="FF0000"/>
        </w:rPr>
        <w:t>]</w:t>
      </w:r>
      <w:r w:rsidRPr="00CE64DA">
        <w:rPr>
          <w:rStyle w:val="Rimandonotaapidipagina"/>
          <w:rFonts w:ascii="Bookman Old Style" w:hAnsi="Bookman Old Style"/>
          <w:sz w:val="18"/>
          <w:szCs w:val="18"/>
          <w:vertAlign w:val="superscript"/>
        </w:rPr>
        <w:footnoteReference w:id="39"/>
      </w:r>
      <w:r w:rsidR="00147AE8" w:rsidRPr="0038349C">
        <w:rPr>
          <w:rFonts w:ascii="Bookman Old Style" w:hAnsi="Bookman Old Style"/>
        </w:rPr>
        <w:t>. Gli interessi sono calcolati con maturazione giorno per giorno con decorrenza dalla data di pagamento.</w:t>
      </w:r>
    </w:p>
    <w:p w14:paraId="371E7D88" w14:textId="7ACFB8EA" w:rsidR="00147AE8" w:rsidRDefault="00A80207" w:rsidP="00147AE8">
      <w:pPr>
        <w:spacing w:after="40" w:line="257" w:lineRule="auto"/>
        <w:ind w:left="502" w:firstLine="0"/>
        <w:jc w:val="both"/>
        <w:rPr>
          <w:rFonts w:ascii="Bookman Old Style" w:hAnsi="Bookman Old Style"/>
        </w:rPr>
      </w:pPr>
      <w:r>
        <w:rPr>
          <w:rFonts w:ascii="Bookman Old Style" w:hAnsi="Bookman Old Style"/>
        </w:rPr>
        <w:t xml:space="preserve">4. </w:t>
      </w:r>
      <w:r w:rsidR="00147AE8" w:rsidRPr="0038349C">
        <w:rPr>
          <w:rFonts w:ascii="Bookman Old Style" w:hAnsi="Bookman Old Style"/>
        </w:rPr>
        <w:t>Le somme da rimborsare possono, su richiesta del contribuente da comunicare al comune entro 30 giorni dalla notificazione del provvedimento di rimborso, essere compensate con gli importi dovuti dal contribuente al Comune stesso a titolo di tassa sui rifiuti. Il funzionario responsabile comunica, entro 30 giorni dalla ricezione, l'accoglimento dell'istanza di compensazione.</w:t>
      </w:r>
    </w:p>
    <w:p w14:paraId="0DF5E83D" w14:textId="4AB10239" w:rsidR="00A80207" w:rsidRDefault="00A80207" w:rsidP="00147AE8">
      <w:pPr>
        <w:spacing w:after="40" w:line="257" w:lineRule="auto"/>
        <w:ind w:left="502" w:firstLine="0"/>
        <w:jc w:val="both"/>
        <w:rPr>
          <w:rFonts w:ascii="Bookman Old Style" w:hAnsi="Bookman Old Style"/>
          <w:b/>
        </w:rPr>
      </w:pPr>
      <w:r w:rsidRPr="00A80207">
        <w:rPr>
          <w:rFonts w:ascii="Bookman Old Style" w:hAnsi="Bookman Old Style"/>
          <w:b/>
        </w:rPr>
        <w:t xml:space="preserve">5. Nel caso in cui il rimborso consegua ad una richiesta di rettifica dell’importo addebitato, si applica quanto previsto dall’articolo </w:t>
      </w:r>
      <w:r>
        <w:rPr>
          <w:rFonts w:ascii="Bookman Old Style" w:hAnsi="Bookman Old Style"/>
          <w:b/>
        </w:rPr>
        <w:t>X2 del presente regolamento.</w:t>
      </w:r>
    </w:p>
    <w:p w14:paraId="11782F08" w14:textId="1990456C" w:rsidR="00A80207" w:rsidRPr="00A80207" w:rsidRDefault="00A80207" w:rsidP="00147AE8">
      <w:pPr>
        <w:spacing w:after="40" w:line="257" w:lineRule="auto"/>
        <w:ind w:left="502" w:firstLine="0"/>
        <w:jc w:val="both"/>
        <w:rPr>
          <w:rFonts w:ascii="Bookman Old Style" w:hAnsi="Bookman Old Style"/>
          <w:b/>
        </w:rPr>
      </w:pPr>
      <w:r>
        <w:rPr>
          <w:rFonts w:ascii="Bookman Old Style" w:hAnsi="Bookman Old Style"/>
          <w:b/>
        </w:rPr>
        <w:t xml:space="preserve">6. Rimane in ogni caso ferma l’applicazione dell’articolo </w:t>
      </w:r>
      <w:r w:rsidR="005C3103">
        <w:rPr>
          <w:rFonts w:ascii="Bookman Old Style" w:hAnsi="Bookman Old Style"/>
          <w:b/>
        </w:rPr>
        <w:t>23 del decreto legislativo 12 dicembre 1997, n. 472</w:t>
      </w:r>
      <w:r w:rsidR="005C3103" w:rsidRPr="00CE64DA">
        <w:rPr>
          <w:rStyle w:val="Rimandonotaapidipagina"/>
          <w:rFonts w:ascii="Bookman Old Style" w:hAnsi="Bookman Old Style"/>
          <w:b/>
          <w:sz w:val="18"/>
          <w:szCs w:val="18"/>
          <w:vertAlign w:val="superscript"/>
        </w:rPr>
        <w:footnoteReference w:id="40"/>
      </w:r>
      <w:r w:rsidR="00CE64DA">
        <w:rPr>
          <w:rFonts w:ascii="Bookman Old Style" w:hAnsi="Bookman Old Style"/>
          <w:b/>
        </w:rPr>
        <w:t>.</w:t>
      </w:r>
    </w:p>
    <w:p w14:paraId="27C2A6A5" w14:textId="67B9061D" w:rsidR="00147AE8" w:rsidRDefault="0079587B" w:rsidP="00147AE8">
      <w:pPr>
        <w:spacing w:after="40" w:line="257" w:lineRule="auto"/>
        <w:ind w:left="502" w:firstLine="0"/>
        <w:jc w:val="both"/>
        <w:rPr>
          <w:rFonts w:ascii="Bookman Old Style" w:hAnsi="Bookman Old Style"/>
        </w:rPr>
      </w:pPr>
      <w:r>
        <w:rPr>
          <w:rFonts w:ascii="Bookman Old Style" w:hAnsi="Bookman Old Style"/>
        </w:rPr>
        <w:t>5.</w:t>
      </w:r>
      <w:r w:rsidR="00B75FBF">
        <w:rPr>
          <w:rFonts w:ascii="Bookman Old Style" w:hAnsi="Bookman Old Style"/>
        </w:rPr>
        <w:t xml:space="preserve"> </w:t>
      </w:r>
      <w:r w:rsidR="00147AE8" w:rsidRPr="0038349C">
        <w:rPr>
          <w:rFonts w:ascii="Bookman Old Style" w:hAnsi="Bookman Old Style"/>
        </w:rPr>
        <w:t>Non si procede al rimborso di somme fino a euro 12,00.</w:t>
      </w:r>
    </w:p>
    <w:p w14:paraId="24DEE593" w14:textId="15F2405C" w:rsidR="005C2CCC" w:rsidRDefault="005C2CCC">
      <w:pPr>
        <w:spacing w:after="40" w:line="276" w:lineRule="auto"/>
        <w:ind w:firstLine="0"/>
        <w:rPr>
          <w:rFonts w:ascii="Bookman Old Style" w:hAnsi="Bookman Old Style"/>
        </w:rPr>
      </w:pPr>
      <w:r>
        <w:rPr>
          <w:rFonts w:ascii="Bookman Old Style" w:hAnsi="Bookman Old Style"/>
        </w:rPr>
        <w:br w:type="page"/>
      </w:r>
    </w:p>
    <w:p w14:paraId="37DE2764" w14:textId="03719550" w:rsidR="005C2CCC" w:rsidRDefault="005C2CCC" w:rsidP="005C2CCC">
      <w:pPr>
        <w:pStyle w:val="Titolo2"/>
        <w:rPr>
          <w:rFonts w:ascii="Bookman Old Style" w:hAnsi="Bookman Old Style"/>
          <w:sz w:val="22"/>
          <w:szCs w:val="22"/>
        </w:rPr>
      </w:pPr>
      <w:bookmarkStart w:id="12" w:name="_Toc121591192"/>
      <w:r w:rsidRPr="00644FDD">
        <w:rPr>
          <w:rFonts w:ascii="Bookman Old Style" w:hAnsi="Bookman Old Style"/>
          <w:sz w:val="22"/>
          <w:szCs w:val="22"/>
        </w:rPr>
        <w:lastRenderedPageBreak/>
        <w:t>Articolo X</w:t>
      </w:r>
      <w:r>
        <w:rPr>
          <w:rFonts w:ascii="Bookman Old Style" w:hAnsi="Bookman Old Style"/>
          <w:sz w:val="22"/>
          <w:szCs w:val="22"/>
        </w:rPr>
        <w:t>6</w:t>
      </w:r>
      <w:r w:rsidRPr="00644FDD">
        <w:rPr>
          <w:rFonts w:ascii="Bookman Old Style" w:hAnsi="Bookman Old Style"/>
          <w:sz w:val="22"/>
          <w:szCs w:val="22"/>
        </w:rPr>
        <w:t xml:space="preserve"> </w:t>
      </w:r>
      <w:r w:rsidR="00921A4A">
        <w:rPr>
          <w:rFonts w:ascii="Bookman Old Style" w:hAnsi="Bookman Old Style"/>
          <w:sz w:val="22"/>
          <w:szCs w:val="22"/>
        </w:rPr>
        <w:t>– Norme di rinvio e clausola di salvaguardia</w:t>
      </w:r>
      <w:bookmarkEnd w:id="12"/>
    </w:p>
    <w:p w14:paraId="6099EDC2" w14:textId="16575605" w:rsidR="005C2CCC" w:rsidRDefault="005C2CCC" w:rsidP="005C2CCC">
      <w:pPr>
        <w:shd w:val="clear" w:color="auto" w:fill="EEECE1" w:themeFill="background2"/>
        <w:ind w:firstLine="0"/>
        <w:jc w:val="both"/>
        <w:rPr>
          <w:rFonts w:ascii="Bookman Old Style" w:hAnsi="Bookman Old Style"/>
          <w:i/>
          <w:iCs/>
          <w:color w:val="000000" w:themeColor="text1"/>
        </w:rPr>
      </w:pPr>
      <w:r>
        <w:rPr>
          <w:rFonts w:ascii="Bookman Old Style" w:hAnsi="Bookman Old Style"/>
          <w:i/>
          <w:iCs/>
          <w:color w:val="000000" w:themeColor="text1"/>
        </w:rPr>
        <w:t>L’articolo</w:t>
      </w:r>
      <w:r w:rsidR="004162AA">
        <w:rPr>
          <w:rFonts w:ascii="Bookman Old Style" w:hAnsi="Bookman Old Style"/>
          <w:i/>
          <w:iCs/>
          <w:color w:val="000000" w:themeColor="text1"/>
        </w:rPr>
        <w:t>, coerentemente con le premesse di questo documento, prevede che per quanto non espressamente regolamentato, si rendono applicabili le disposizioni di legge e le delibere ARERA.</w:t>
      </w:r>
      <w:r>
        <w:rPr>
          <w:rFonts w:ascii="Bookman Old Style" w:hAnsi="Bookman Old Style"/>
          <w:i/>
          <w:iCs/>
          <w:color w:val="000000" w:themeColor="text1"/>
        </w:rPr>
        <w:t xml:space="preserve"> </w:t>
      </w:r>
    </w:p>
    <w:p w14:paraId="0C4321CB" w14:textId="77777777" w:rsidR="005C2CCC" w:rsidRDefault="005C2CCC" w:rsidP="005C2CCC">
      <w:pPr>
        <w:pStyle w:val="Paragrafoelenco"/>
        <w:ind w:left="0" w:firstLine="0"/>
        <w:jc w:val="both"/>
        <w:rPr>
          <w:rFonts w:ascii="Bookman Old Style" w:hAnsi="Bookman Old Style"/>
        </w:rPr>
      </w:pPr>
    </w:p>
    <w:p w14:paraId="5BEAC3AF" w14:textId="25F58183" w:rsidR="00147AE8" w:rsidRPr="004162AA" w:rsidRDefault="004162AA" w:rsidP="00147AE8">
      <w:pPr>
        <w:spacing w:after="40" w:line="257" w:lineRule="auto"/>
        <w:ind w:left="502" w:firstLine="0"/>
        <w:jc w:val="both"/>
        <w:rPr>
          <w:rFonts w:ascii="Bookman Old Style" w:hAnsi="Bookman Old Style"/>
        </w:rPr>
      </w:pPr>
      <w:r>
        <w:rPr>
          <w:rFonts w:ascii="Bookman Old Style" w:hAnsi="Bookman Old Style"/>
        </w:rPr>
        <w:t xml:space="preserve">1. </w:t>
      </w:r>
      <w:r w:rsidR="00147AE8" w:rsidRPr="004162AA">
        <w:rPr>
          <w:rFonts w:ascii="Bookman Old Style" w:hAnsi="Bookman Old Style"/>
        </w:rPr>
        <w:t>Il presente Regolamento si adegua automaticamente alle modificazioni della normativa nazionale e comunitaria, in particolare in materia di rifiuti.</w:t>
      </w:r>
    </w:p>
    <w:p w14:paraId="5861F73A" w14:textId="7D77FCEF" w:rsidR="00147AE8" w:rsidRPr="004162AA" w:rsidRDefault="004162AA" w:rsidP="00147AE8">
      <w:pPr>
        <w:spacing w:after="40" w:line="257" w:lineRule="auto"/>
        <w:ind w:left="502" w:firstLine="0"/>
        <w:jc w:val="both"/>
        <w:rPr>
          <w:rFonts w:ascii="Bookman Old Style" w:hAnsi="Bookman Old Style"/>
        </w:rPr>
      </w:pPr>
      <w:r>
        <w:rPr>
          <w:rFonts w:ascii="Bookman Old Style" w:hAnsi="Bookman Old Style"/>
        </w:rPr>
        <w:t xml:space="preserve">2. </w:t>
      </w:r>
      <w:r w:rsidR="00147AE8" w:rsidRPr="004162AA">
        <w:rPr>
          <w:rFonts w:ascii="Bookman Old Style" w:hAnsi="Bookman Old Style"/>
        </w:rPr>
        <w:t>I richiami e le citazioni di norme contenuti nel presente Regolamento si devono intendere fatti al testo vigente delle norme stesse.</w:t>
      </w:r>
    </w:p>
    <w:p w14:paraId="41564011" w14:textId="77777777" w:rsidR="00147AE8" w:rsidRDefault="00147AE8" w:rsidP="00147AE8">
      <w:pPr>
        <w:spacing w:after="40" w:line="257" w:lineRule="auto"/>
        <w:ind w:left="502" w:firstLine="0"/>
        <w:jc w:val="both"/>
        <w:rPr>
          <w:rFonts w:ascii="Bookman Old Style" w:hAnsi="Bookman Old Style"/>
        </w:rPr>
      </w:pPr>
      <w:r w:rsidRPr="004162AA">
        <w:rPr>
          <w:rFonts w:ascii="Bookman Old Style" w:hAnsi="Bookman Old Style"/>
        </w:rPr>
        <w:t xml:space="preserve">3. Per quanto non regolamentato, si applicano le disposizioni di legge </w:t>
      </w:r>
      <w:r w:rsidRPr="004162AA">
        <w:rPr>
          <w:rFonts w:ascii="Bookman Old Style" w:hAnsi="Bookman Old Style"/>
          <w:b/>
        </w:rPr>
        <w:t>ed i provvedimenti di ARERA in materia di regolazione dei rifiuti urbani adottati ai sensi dell’articolo 1, comma 527, legge 27 dicembre 2017, n. 205</w:t>
      </w:r>
      <w:r w:rsidRPr="004162AA">
        <w:rPr>
          <w:rFonts w:ascii="Bookman Old Style" w:hAnsi="Bookman Old Style"/>
        </w:rPr>
        <w:t>.</w:t>
      </w:r>
    </w:p>
    <w:p w14:paraId="24E49768" w14:textId="77777777" w:rsidR="00147AE8" w:rsidRPr="00663D6A" w:rsidRDefault="00147AE8" w:rsidP="00147AE8">
      <w:pPr>
        <w:spacing w:after="40" w:line="257" w:lineRule="auto"/>
        <w:ind w:left="502" w:firstLine="0"/>
        <w:jc w:val="both"/>
        <w:rPr>
          <w:rFonts w:ascii="Bookman Old Style" w:hAnsi="Bookman Old Style"/>
        </w:rPr>
      </w:pPr>
    </w:p>
    <w:p w14:paraId="53CD26C0" w14:textId="77777777" w:rsidR="00147AE8" w:rsidRDefault="00147AE8" w:rsidP="00147AE8">
      <w:pPr>
        <w:spacing w:after="40" w:line="257" w:lineRule="auto"/>
        <w:ind w:left="502" w:firstLine="0"/>
        <w:jc w:val="both"/>
        <w:rPr>
          <w:rFonts w:ascii="Bookman Old Style" w:hAnsi="Bookman Old Style"/>
        </w:rPr>
      </w:pPr>
    </w:p>
    <w:p w14:paraId="4F99946C" w14:textId="77777777" w:rsidR="00FF6DE9" w:rsidRDefault="00FF6DE9" w:rsidP="00147AE8">
      <w:pPr>
        <w:spacing w:after="40" w:line="257" w:lineRule="auto"/>
        <w:ind w:left="502" w:firstLine="0"/>
        <w:jc w:val="both"/>
        <w:rPr>
          <w:rFonts w:ascii="Bookman Old Style" w:hAnsi="Bookman Old Style"/>
        </w:rPr>
      </w:pPr>
    </w:p>
    <w:p w14:paraId="511267CA" w14:textId="77777777" w:rsidR="00933808" w:rsidRDefault="00933808">
      <w:pPr>
        <w:spacing w:after="40" w:line="276" w:lineRule="auto"/>
        <w:ind w:firstLine="0"/>
        <w:rPr>
          <w:rFonts w:ascii="Bookman Old Style" w:hAnsi="Bookman Old Style"/>
          <w:highlight w:val="cyan"/>
        </w:rPr>
      </w:pPr>
      <w:r>
        <w:rPr>
          <w:rFonts w:ascii="Bookman Old Style" w:hAnsi="Bookman Old Style"/>
          <w:highlight w:val="cyan"/>
        </w:rPr>
        <w:br w:type="page"/>
      </w:r>
    </w:p>
    <w:p w14:paraId="6D58F459" w14:textId="145D5E5D" w:rsidR="00FF6DE9" w:rsidRPr="003836C6" w:rsidRDefault="00FF6DE9" w:rsidP="002B7748">
      <w:pPr>
        <w:spacing w:after="40" w:line="257" w:lineRule="auto"/>
        <w:ind w:firstLine="0"/>
        <w:jc w:val="both"/>
        <w:rPr>
          <w:rFonts w:ascii="Bookman Old Style" w:hAnsi="Bookman Old Style"/>
          <w:bCs/>
        </w:rPr>
      </w:pPr>
      <w:r w:rsidRPr="003836C6">
        <w:rPr>
          <w:rFonts w:ascii="Bookman Old Style" w:hAnsi="Bookman Old Style"/>
        </w:rPr>
        <w:lastRenderedPageBreak/>
        <w:t>Per quanto riguarda l’</w:t>
      </w:r>
      <w:r w:rsidR="0062038D" w:rsidRPr="003836C6">
        <w:rPr>
          <w:rFonts w:ascii="Bookman Old Style" w:hAnsi="Bookman Old Style"/>
        </w:rPr>
        <w:t xml:space="preserve">uscita dal pubblico servizio, IFEL </w:t>
      </w:r>
      <w:r w:rsidR="00635C8E" w:rsidRPr="003836C6">
        <w:rPr>
          <w:rFonts w:ascii="Bookman Old Style" w:hAnsi="Bookman Old Style"/>
        </w:rPr>
        <w:t>aveva messo a disposizione uno</w:t>
      </w:r>
      <w:r w:rsidR="0062038D" w:rsidRPr="003836C6">
        <w:rPr>
          <w:rFonts w:ascii="Bookman Old Style" w:hAnsi="Bookman Old Style"/>
        </w:rPr>
        <w:t xml:space="preserve"> </w:t>
      </w:r>
      <w:hyperlink r:id="rId13" w:history="1">
        <w:r w:rsidRPr="003836C6">
          <w:rPr>
            <w:rStyle w:val="Collegamentoipertestuale"/>
            <w:rFonts w:ascii="Bookman Old Style" w:hAnsi="Bookman Old Style"/>
            <w:b/>
            <w:color w:val="auto"/>
          </w:rPr>
          <w:t>Schema di modifiche del regolamento per l’applicazione della TARI, in recepimento delle disposizioni di cui al d.lgs. 116/2020</w:t>
        </w:r>
      </w:hyperlink>
      <w:r w:rsidR="0062038D" w:rsidRPr="003836C6">
        <w:rPr>
          <w:rFonts w:ascii="Bookman Old Style" w:hAnsi="Bookman Old Style"/>
          <w:b/>
          <w:sz w:val="24"/>
          <w:szCs w:val="24"/>
        </w:rPr>
        <w:t xml:space="preserve"> </w:t>
      </w:r>
      <w:r w:rsidR="007E78C5" w:rsidRPr="003836C6">
        <w:rPr>
          <w:rFonts w:ascii="Bookman Old Style" w:hAnsi="Bookman Old Style"/>
          <w:bCs/>
        </w:rPr>
        <w:t>che tuttavia é</w:t>
      </w:r>
      <w:r w:rsidR="0062038D" w:rsidRPr="003836C6">
        <w:rPr>
          <w:rFonts w:ascii="Bookman Old Style" w:hAnsi="Bookman Old Style"/>
          <w:bCs/>
        </w:rPr>
        <w:t xml:space="preserve"> del 2021, e andrebbe aggiornato.</w:t>
      </w:r>
    </w:p>
    <w:p w14:paraId="6BD7B2B3" w14:textId="77777777" w:rsidR="002B7748" w:rsidRPr="003836C6" w:rsidRDefault="002B7748" w:rsidP="002B7748">
      <w:pPr>
        <w:spacing w:after="40" w:line="257" w:lineRule="auto"/>
        <w:ind w:firstLine="0"/>
        <w:jc w:val="both"/>
        <w:rPr>
          <w:rFonts w:ascii="Bookman Old Style" w:hAnsi="Bookman Old Style"/>
          <w:sz w:val="24"/>
          <w:szCs w:val="24"/>
        </w:rPr>
      </w:pPr>
    </w:p>
    <w:p w14:paraId="28ADF28C" w14:textId="5DAAAC2D" w:rsidR="00B44313" w:rsidRPr="003836C6" w:rsidRDefault="00E7410F" w:rsidP="002B7748">
      <w:pPr>
        <w:spacing w:after="40" w:line="257" w:lineRule="auto"/>
        <w:ind w:firstLine="0"/>
        <w:jc w:val="both"/>
        <w:rPr>
          <w:rFonts w:ascii="Bookman Old Style" w:hAnsi="Bookman Old Style"/>
        </w:rPr>
      </w:pPr>
      <w:r>
        <w:rPr>
          <w:rFonts w:ascii="Bookman Old Style" w:hAnsi="Bookman Old Style"/>
        </w:rPr>
        <w:t xml:space="preserve">Appare opportuno </w:t>
      </w:r>
      <w:r w:rsidR="00B44313" w:rsidRPr="003836C6">
        <w:rPr>
          <w:rFonts w:ascii="Bookman Old Style" w:hAnsi="Bookman Old Style"/>
        </w:rPr>
        <w:t>aggiungere anche questi articoli</w:t>
      </w:r>
      <w:r w:rsidR="008560DB" w:rsidRPr="003836C6">
        <w:rPr>
          <w:rFonts w:ascii="Bookman Old Style" w:hAnsi="Bookman Old Style"/>
        </w:rPr>
        <w:t>:</w:t>
      </w:r>
    </w:p>
    <w:p w14:paraId="610DA569" w14:textId="77777777" w:rsidR="00B44313" w:rsidRPr="003836C6" w:rsidRDefault="00B44313" w:rsidP="00147AE8">
      <w:pPr>
        <w:spacing w:after="40" w:line="257" w:lineRule="auto"/>
        <w:ind w:left="502" w:firstLine="0"/>
        <w:jc w:val="both"/>
        <w:rPr>
          <w:rFonts w:ascii="Bookman Old Style" w:hAnsi="Bookman Old Style"/>
          <w:sz w:val="24"/>
          <w:szCs w:val="24"/>
        </w:rPr>
      </w:pPr>
    </w:p>
    <w:p w14:paraId="0576766A" w14:textId="445567AC" w:rsidR="00B44313" w:rsidRPr="003836C6" w:rsidRDefault="00B44313" w:rsidP="00B44313">
      <w:pPr>
        <w:pStyle w:val="Titolo2"/>
        <w:rPr>
          <w:rFonts w:ascii="Bookman Old Style" w:hAnsi="Bookman Old Style"/>
          <w:sz w:val="22"/>
          <w:szCs w:val="22"/>
        </w:rPr>
      </w:pPr>
      <w:bookmarkStart w:id="13" w:name="_Toc121591193"/>
      <w:r w:rsidRPr="003836C6">
        <w:rPr>
          <w:rFonts w:ascii="Bookman Old Style" w:hAnsi="Bookman Old Style"/>
          <w:sz w:val="22"/>
          <w:szCs w:val="22"/>
        </w:rPr>
        <w:t xml:space="preserve">Articolo X6 – </w:t>
      </w:r>
      <w:r w:rsidRPr="003836C6">
        <w:rPr>
          <w:rFonts w:ascii="Bookman Old Style" w:hAnsi="Bookman Old Style"/>
        </w:rPr>
        <w:t>Avvio autonomo a recupero dei rifiuti urbani ai sensi dell’art. 198 comma 2-bis e dell’art. 238 comma 10 del d.lgs. n. 152/2006</w:t>
      </w:r>
      <w:bookmarkEnd w:id="13"/>
    </w:p>
    <w:p w14:paraId="2CA97EC6" w14:textId="68999614" w:rsidR="00B44313" w:rsidRPr="003836C6" w:rsidRDefault="00B44313" w:rsidP="00B44313">
      <w:pPr>
        <w:shd w:val="clear" w:color="auto" w:fill="EEECE1" w:themeFill="background2"/>
        <w:ind w:firstLine="0"/>
        <w:jc w:val="both"/>
        <w:rPr>
          <w:rFonts w:ascii="Bookman Old Style" w:hAnsi="Bookman Old Style"/>
          <w:i/>
          <w:iCs/>
          <w:color w:val="000000" w:themeColor="text1"/>
        </w:rPr>
      </w:pPr>
      <w:r w:rsidRPr="003836C6">
        <w:rPr>
          <w:rFonts w:ascii="Bookman Old Style" w:hAnsi="Bookman Old Style"/>
          <w:i/>
          <w:iCs/>
          <w:color w:val="000000" w:themeColor="text1"/>
        </w:rPr>
        <w:t xml:space="preserve">L’articolo, </w:t>
      </w:r>
      <w:r w:rsidR="005F72A2" w:rsidRPr="003836C6">
        <w:rPr>
          <w:rFonts w:ascii="Bookman Old Style" w:hAnsi="Bookman Old Style"/>
          <w:i/>
          <w:iCs/>
          <w:color w:val="000000" w:themeColor="text1"/>
        </w:rPr>
        <w:t>recepisce la possibilità concessa dalla normativa di fuoriuscita dal servizio pubblico.</w:t>
      </w:r>
      <w:r w:rsidRPr="003836C6">
        <w:rPr>
          <w:rFonts w:ascii="Bookman Old Style" w:hAnsi="Bookman Old Style"/>
          <w:i/>
          <w:iCs/>
          <w:color w:val="000000" w:themeColor="text1"/>
        </w:rPr>
        <w:t xml:space="preserve"> </w:t>
      </w:r>
    </w:p>
    <w:p w14:paraId="7D714998" w14:textId="77777777" w:rsidR="00B44313" w:rsidRPr="003836C6" w:rsidRDefault="00B44313" w:rsidP="00B44313">
      <w:pPr>
        <w:pStyle w:val="Paragrafoelenco"/>
        <w:ind w:left="0" w:firstLine="0"/>
        <w:jc w:val="both"/>
        <w:rPr>
          <w:rFonts w:ascii="Bookman Old Style" w:hAnsi="Bookman Old Style"/>
        </w:rPr>
      </w:pPr>
    </w:p>
    <w:p w14:paraId="29820AD7" w14:textId="4041E5D5" w:rsidR="00B44313" w:rsidRPr="003836C6" w:rsidRDefault="005F72A2" w:rsidP="00B44313">
      <w:pPr>
        <w:spacing w:after="40" w:line="257" w:lineRule="auto"/>
        <w:ind w:left="502" w:firstLine="0"/>
        <w:jc w:val="both"/>
        <w:rPr>
          <w:rFonts w:ascii="Bookman Old Style" w:hAnsi="Bookman Old Style"/>
          <w:b/>
        </w:rPr>
      </w:pPr>
      <w:r w:rsidRPr="003836C6">
        <w:rPr>
          <w:rFonts w:ascii="Bookman Old Style" w:hAnsi="Bookman Old Style"/>
          <w:b/>
        </w:rPr>
        <w:t xml:space="preserve">1. </w:t>
      </w:r>
      <w:r w:rsidR="00B44313" w:rsidRPr="003836C6">
        <w:rPr>
          <w:rFonts w:ascii="Bookman Old Style" w:hAnsi="Bookman Old Style"/>
          <w:b/>
        </w:rPr>
        <w:t xml:space="preserve">Ai sensi dell’art. 198 comma 2-bis del </w:t>
      </w:r>
      <w:r w:rsidRPr="003836C6">
        <w:rPr>
          <w:rFonts w:ascii="Bookman Old Style" w:hAnsi="Bookman Old Style"/>
          <w:b/>
        </w:rPr>
        <w:t>decreto legislativo 3 aprile 2006, n. 152</w:t>
      </w:r>
      <w:r w:rsidR="00B44313" w:rsidRPr="003836C6">
        <w:rPr>
          <w:rFonts w:ascii="Bookman Old Style" w:hAnsi="Bookman Old Style"/>
          <w:b/>
        </w:rPr>
        <w:t xml:space="preserve">, le utenze non domestiche possono conferire al di fuori del servizio pubblico i propri rifiuti urbani, previa dimostrazione di averli avviati al recupero mediante attestazione rilasciata dal soggetto che effettua l’attività di recupero dei rifiuti stessi. </w:t>
      </w:r>
    </w:p>
    <w:p w14:paraId="7CE692BF" w14:textId="5B57D66D" w:rsidR="00B44313" w:rsidRPr="003836C6" w:rsidRDefault="005F72A2" w:rsidP="00B44313">
      <w:pPr>
        <w:spacing w:after="40" w:line="257" w:lineRule="auto"/>
        <w:ind w:left="502" w:firstLine="0"/>
        <w:jc w:val="both"/>
        <w:rPr>
          <w:rFonts w:ascii="Bookman Old Style" w:hAnsi="Bookman Old Style"/>
          <w:b/>
        </w:rPr>
      </w:pPr>
      <w:r w:rsidRPr="003836C6">
        <w:rPr>
          <w:rFonts w:ascii="Bookman Old Style" w:hAnsi="Bookman Old Style"/>
          <w:b/>
        </w:rPr>
        <w:t xml:space="preserve">2. </w:t>
      </w:r>
      <w:r w:rsidR="00B44313" w:rsidRPr="003836C6">
        <w:rPr>
          <w:rFonts w:ascii="Bookman Old Style" w:hAnsi="Bookman Old Style"/>
          <w:b/>
        </w:rPr>
        <w:t>Ai sensi dell’art. 238 comma 10 del d</w:t>
      </w:r>
      <w:r w:rsidRPr="003836C6">
        <w:rPr>
          <w:rFonts w:ascii="Bookman Old Style" w:hAnsi="Bookman Old Style"/>
          <w:b/>
        </w:rPr>
        <w:t xml:space="preserve"> decreto legislativo 3 aprile 2006, n. 152</w:t>
      </w:r>
      <w:r w:rsidR="00B44313" w:rsidRPr="003836C6">
        <w:rPr>
          <w:rFonts w:ascii="Bookman Old Style" w:hAnsi="Bookman Old Style"/>
          <w:b/>
        </w:rPr>
        <w:t>, le utenze non domestiche che producono rifiuti urbani e che li conferiscono a recupero al di fuori del servizio pubblico di raccolta sono escluse dalla corresponsione della componente tariffaria rapportata alla quantità dei rifiuti conferiti, fermo restando quanto previsto al comma 1 del presente articolo e gli obblighi di comunicazione di cui al successivo ART.</w:t>
      </w:r>
      <w:r w:rsidRPr="003836C6">
        <w:rPr>
          <w:rFonts w:ascii="Bookman Old Style" w:hAnsi="Bookman Old Style"/>
          <w:b/>
        </w:rPr>
        <w:t xml:space="preserve"> XY</w:t>
      </w:r>
      <w:r w:rsidR="00B44313" w:rsidRPr="003836C6">
        <w:rPr>
          <w:rFonts w:ascii="Bookman Old Style" w:hAnsi="Bookman Old Style"/>
          <w:b/>
        </w:rPr>
        <w:t>.  Resta impregiudicato il versamento della parte fissa della tariffa.</w:t>
      </w:r>
    </w:p>
    <w:p w14:paraId="3498B5E1" w14:textId="6F6AF576" w:rsidR="00B44313" w:rsidRPr="003836C6" w:rsidRDefault="005C34E3" w:rsidP="00B44313">
      <w:pPr>
        <w:spacing w:after="40" w:line="257" w:lineRule="auto"/>
        <w:ind w:left="502" w:firstLine="0"/>
        <w:jc w:val="both"/>
        <w:rPr>
          <w:rFonts w:ascii="Bookman Old Style" w:hAnsi="Bookman Old Style"/>
        </w:rPr>
      </w:pPr>
      <w:r w:rsidRPr="003836C6">
        <w:rPr>
          <w:rFonts w:ascii="Bookman Old Style" w:hAnsi="Bookman Old Style"/>
          <w:b/>
        </w:rPr>
        <w:t xml:space="preserve">3. </w:t>
      </w:r>
      <w:r w:rsidR="00B44313" w:rsidRPr="003836C6">
        <w:rPr>
          <w:rFonts w:ascii="Bookman Old Style" w:hAnsi="Bookman Old Style"/>
          <w:b/>
        </w:rPr>
        <w:t xml:space="preserve">Per le utenze non domestiche di cui al comma 1, la scelta di avvalersi di operatori privati diversi dal Gestore del servizio pubblico deve essere effettuata per un periodo non inferiore a </w:t>
      </w:r>
      <w:r w:rsidR="005F72A2" w:rsidRPr="003836C6">
        <w:rPr>
          <w:rFonts w:ascii="Bookman Old Style" w:hAnsi="Bookman Old Style"/>
          <w:b/>
        </w:rPr>
        <w:t>due anni</w:t>
      </w:r>
      <w:r w:rsidR="005F72A2" w:rsidRPr="00E7410F">
        <w:rPr>
          <w:rStyle w:val="Rimandonotaapidipagina"/>
          <w:rFonts w:ascii="Bookman Old Style" w:hAnsi="Bookman Old Style"/>
          <w:sz w:val="18"/>
          <w:szCs w:val="18"/>
          <w:vertAlign w:val="superscript"/>
        </w:rPr>
        <w:footnoteReference w:id="41"/>
      </w:r>
      <w:r w:rsidR="00B44313" w:rsidRPr="003836C6">
        <w:rPr>
          <w:rFonts w:ascii="Bookman Old Style" w:hAnsi="Bookman Old Style"/>
        </w:rPr>
        <w:t>.</w:t>
      </w:r>
    </w:p>
    <w:p w14:paraId="7557A0DB" w14:textId="77777777" w:rsidR="005C34E3" w:rsidRPr="003836C6" w:rsidRDefault="005C34E3" w:rsidP="00B44313">
      <w:pPr>
        <w:spacing w:after="40" w:line="257" w:lineRule="auto"/>
        <w:ind w:left="502" w:firstLine="0"/>
        <w:jc w:val="both"/>
        <w:rPr>
          <w:rFonts w:ascii="Bookman Old Style" w:hAnsi="Bookman Old Style"/>
        </w:rPr>
      </w:pPr>
    </w:p>
    <w:p w14:paraId="559A1D9C" w14:textId="1A4FF2EB" w:rsidR="005C34E3" w:rsidRPr="003836C6" w:rsidRDefault="005C34E3" w:rsidP="005C34E3">
      <w:pPr>
        <w:pStyle w:val="Titolo2"/>
        <w:rPr>
          <w:rFonts w:ascii="Bookman Old Style" w:hAnsi="Bookman Old Style"/>
          <w:sz w:val="22"/>
          <w:szCs w:val="22"/>
        </w:rPr>
      </w:pPr>
      <w:bookmarkStart w:id="14" w:name="_Toc121591194"/>
      <w:r w:rsidRPr="003836C6">
        <w:rPr>
          <w:rFonts w:ascii="Bookman Old Style" w:hAnsi="Bookman Old Style"/>
          <w:sz w:val="22"/>
          <w:szCs w:val="22"/>
        </w:rPr>
        <w:t>Articolo X7 –</w:t>
      </w:r>
      <w:r w:rsidRPr="003836C6">
        <w:rPr>
          <w:rFonts w:ascii="Bookman Old Style" w:hAnsi="Bookman Old Style"/>
        </w:rPr>
        <w:t>Obblighi di comunicazione per l’utenza non domestica</w:t>
      </w:r>
      <w:bookmarkEnd w:id="14"/>
    </w:p>
    <w:p w14:paraId="146ED798" w14:textId="7C9DC34E" w:rsidR="005C34E3" w:rsidRPr="003836C6" w:rsidRDefault="005C34E3" w:rsidP="005C34E3">
      <w:pPr>
        <w:shd w:val="clear" w:color="auto" w:fill="EEECE1" w:themeFill="background2"/>
        <w:ind w:firstLine="0"/>
        <w:jc w:val="both"/>
        <w:rPr>
          <w:rFonts w:ascii="Bookman Old Style" w:hAnsi="Bookman Old Style"/>
          <w:i/>
          <w:iCs/>
          <w:color w:val="000000" w:themeColor="text1"/>
        </w:rPr>
      </w:pPr>
      <w:r w:rsidRPr="003836C6">
        <w:rPr>
          <w:rFonts w:ascii="Bookman Old Style" w:hAnsi="Bookman Old Style"/>
          <w:i/>
          <w:iCs/>
          <w:color w:val="000000" w:themeColor="text1"/>
        </w:rPr>
        <w:t xml:space="preserve">L’articolo recepisce l’art. 3 della delibera ARERA 15/2022. </w:t>
      </w:r>
    </w:p>
    <w:p w14:paraId="25EB7168" w14:textId="77777777" w:rsidR="00074AAA" w:rsidRPr="003836C6" w:rsidRDefault="00074AAA" w:rsidP="00B44313">
      <w:pPr>
        <w:spacing w:after="40" w:line="257" w:lineRule="auto"/>
        <w:ind w:left="502" w:firstLine="0"/>
        <w:jc w:val="both"/>
        <w:rPr>
          <w:rFonts w:ascii="Bookman Old Style" w:hAnsi="Bookman Old Style"/>
        </w:rPr>
      </w:pPr>
    </w:p>
    <w:p w14:paraId="76ADE55E" w14:textId="21D16F81" w:rsidR="00B44313" w:rsidRPr="003836C6" w:rsidRDefault="00074AAA" w:rsidP="00B44313">
      <w:pPr>
        <w:spacing w:after="40" w:line="257" w:lineRule="auto"/>
        <w:ind w:left="502" w:firstLine="0"/>
        <w:jc w:val="both"/>
        <w:rPr>
          <w:rFonts w:ascii="Bookman Old Style" w:hAnsi="Bookman Old Style"/>
          <w:b/>
        </w:rPr>
      </w:pPr>
      <w:r w:rsidRPr="003836C6">
        <w:rPr>
          <w:rFonts w:ascii="Bookman Old Style" w:hAnsi="Bookman Old Style"/>
          <w:b/>
        </w:rPr>
        <w:t xml:space="preserve">1. </w:t>
      </w:r>
      <w:r w:rsidR="00B44313" w:rsidRPr="003836C6">
        <w:rPr>
          <w:rFonts w:ascii="Bookman Old Style" w:hAnsi="Bookman Old Style"/>
          <w:b/>
        </w:rPr>
        <w:t>Per consentire la corretta programmazione dei servizi pubblici, l’utenza non domestica che intende avvalersi della facoltà di cui all’ART</w:t>
      </w:r>
      <w:r w:rsidRPr="003836C6">
        <w:rPr>
          <w:rFonts w:ascii="Bookman Old Style" w:hAnsi="Bookman Old Style"/>
          <w:b/>
        </w:rPr>
        <w:t>. X6</w:t>
      </w:r>
      <w:r w:rsidR="00B44313" w:rsidRPr="003836C6">
        <w:rPr>
          <w:rFonts w:ascii="Bookman Old Style" w:hAnsi="Bookman Old Style"/>
          <w:b/>
        </w:rPr>
        <w:t xml:space="preserve"> del presente Regolamento e avviare a recupero i propri rifiuti urbani al di fuori del servizio pubblico deve darne comunicazione preventiva via PEC al Comune </w:t>
      </w:r>
      <w:r w:rsidR="00B44313" w:rsidRPr="003836C6">
        <w:rPr>
          <w:rFonts w:ascii="Bookman Old Style" w:hAnsi="Bookman Old Style"/>
          <w:b/>
          <w:color w:val="FF0000"/>
        </w:rPr>
        <w:t>[indicare l’ufficio competente – es. Ufficio tributi o Ufficio Ambiente]</w:t>
      </w:r>
      <w:r w:rsidR="00B44313" w:rsidRPr="003836C6">
        <w:rPr>
          <w:rFonts w:ascii="Bookman Old Style" w:hAnsi="Bookman Old Style"/>
          <w:b/>
        </w:rPr>
        <w:t xml:space="preserve"> entro il 30 giugno di ciascun anno, con effetti a decorrere dal 1° gennaio dell’anno successivo. </w:t>
      </w:r>
    </w:p>
    <w:p w14:paraId="08454EB3" w14:textId="5D778251" w:rsidR="00B44313" w:rsidRPr="003836C6" w:rsidRDefault="00074AAA" w:rsidP="00B44313">
      <w:pPr>
        <w:spacing w:after="40" w:line="257" w:lineRule="auto"/>
        <w:ind w:left="502" w:firstLine="0"/>
        <w:jc w:val="both"/>
        <w:rPr>
          <w:rFonts w:ascii="Bookman Old Style" w:hAnsi="Bookman Old Style"/>
          <w:b/>
        </w:rPr>
      </w:pPr>
      <w:r w:rsidRPr="003836C6">
        <w:rPr>
          <w:rFonts w:ascii="Bookman Old Style" w:hAnsi="Bookman Old Style"/>
          <w:b/>
        </w:rPr>
        <w:t xml:space="preserve">2. </w:t>
      </w:r>
      <w:r w:rsidR="00B44313" w:rsidRPr="003836C6">
        <w:rPr>
          <w:rFonts w:ascii="Bookman Old Style" w:hAnsi="Bookman Old Style"/>
          <w:b/>
        </w:rPr>
        <w:t xml:space="preserve">Per comunicare la scelta di cui al comma 1, il contribuente è tenuto alla presentazione di una comunicazione redatta secondo il modello </w:t>
      </w:r>
      <w:r w:rsidRPr="003836C6">
        <w:rPr>
          <w:rFonts w:ascii="Bookman Old Style" w:hAnsi="Bookman Old Style"/>
          <w:b/>
        </w:rPr>
        <w:t>predisposto dal Comune</w:t>
      </w:r>
      <w:r w:rsidR="00B44313" w:rsidRPr="003836C6">
        <w:rPr>
          <w:rFonts w:ascii="Bookman Old Style" w:hAnsi="Bookman Old Style"/>
          <w:b/>
        </w:rPr>
        <w:t xml:space="preserve">, sottoscritta dal legale rappresentante, nella quale devono essere indicati, l’ubicazione degli immobili di riferimento e le loro superfici tassabili, il tipo di attività svolta in via prevalente con il relativo codice ATECO, i quantitativi stimati dei rifiuti da avviare a recupero che saranno conferiti al di </w:t>
      </w:r>
      <w:r w:rsidR="00B44313" w:rsidRPr="003836C6">
        <w:rPr>
          <w:rFonts w:ascii="Bookman Old Style" w:hAnsi="Bookman Old Style"/>
          <w:b/>
        </w:rPr>
        <w:lastRenderedPageBreak/>
        <w:t>fuori del servizio pubblico</w:t>
      </w:r>
      <w:r w:rsidRPr="003836C6">
        <w:rPr>
          <w:rFonts w:ascii="Bookman Old Style" w:hAnsi="Bookman Old Style"/>
          <w:b/>
        </w:rPr>
        <w:t xml:space="preserve"> </w:t>
      </w:r>
      <w:r w:rsidRPr="003836C6">
        <w:rPr>
          <w:rFonts w:ascii="Bookman Old Style" w:hAnsi="Bookman Old Style"/>
          <w:b/>
          <w:color w:val="FF0000"/>
        </w:rPr>
        <w:t>[e l’impegno a restituire le eventuali dotazioni in uso, in caso di TARI puntuale]</w:t>
      </w:r>
      <w:r w:rsidR="00B44313" w:rsidRPr="003836C6">
        <w:rPr>
          <w:rFonts w:ascii="Bookman Old Style" w:hAnsi="Bookman Old Style"/>
          <w:b/>
        </w:rPr>
        <w:t>.</w:t>
      </w:r>
    </w:p>
    <w:p w14:paraId="65E8CCC4" w14:textId="7026CE03" w:rsidR="00B44313" w:rsidRPr="003836C6" w:rsidRDefault="00074AAA" w:rsidP="00B44313">
      <w:pPr>
        <w:spacing w:after="40" w:line="257" w:lineRule="auto"/>
        <w:ind w:left="502" w:firstLine="0"/>
        <w:jc w:val="both"/>
        <w:rPr>
          <w:rFonts w:ascii="Bookman Old Style" w:hAnsi="Bookman Old Style"/>
          <w:b/>
        </w:rPr>
      </w:pPr>
      <w:r w:rsidRPr="003836C6">
        <w:rPr>
          <w:rFonts w:ascii="Bookman Old Style" w:hAnsi="Bookman Old Style"/>
          <w:b/>
        </w:rPr>
        <w:t xml:space="preserve">3. </w:t>
      </w:r>
      <w:r w:rsidR="00B44313" w:rsidRPr="003836C6">
        <w:rPr>
          <w:rFonts w:ascii="Bookman Old Style" w:hAnsi="Bookman Old Style"/>
          <w:b/>
        </w:rPr>
        <w:t>Alla comunicazione deve es</w:t>
      </w:r>
      <w:r w:rsidRPr="003836C6">
        <w:rPr>
          <w:rFonts w:ascii="Bookman Old Style" w:hAnsi="Bookman Old Style"/>
          <w:b/>
        </w:rPr>
        <w:t xml:space="preserve">sere allegata la documentazione, </w:t>
      </w:r>
      <w:r w:rsidR="00B44313" w:rsidRPr="003836C6">
        <w:rPr>
          <w:rFonts w:ascii="Bookman Old Style" w:hAnsi="Bookman Old Style"/>
          <w:b/>
        </w:rPr>
        <w:t>anche mediante una dichiarazione sostitutiva di atto di notorietà di cui al D.P.R. n. 445/2000, comprovante l’esistenza di un accordo contrattuale con il soggetto che effettua l’attività di recupero dei rifiuti. Tale comunicazione è valida anche quale dichiarazione di variazione ai fini della TARI.</w:t>
      </w:r>
    </w:p>
    <w:p w14:paraId="2F046DB2" w14:textId="1012B012" w:rsidR="00B44313" w:rsidRPr="003836C6" w:rsidRDefault="00074AAA" w:rsidP="00B44313">
      <w:pPr>
        <w:spacing w:after="40" w:line="257" w:lineRule="auto"/>
        <w:ind w:left="502" w:firstLine="0"/>
        <w:jc w:val="both"/>
        <w:rPr>
          <w:rFonts w:ascii="Bookman Old Style" w:hAnsi="Bookman Old Style"/>
          <w:b/>
        </w:rPr>
      </w:pPr>
      <w:r w:rsidRPr="003836C6">
        <w:rPr>
          <w:rFonts w:ascii="Bookman Old Style" w:hAnsi="Bookman Old Style"/>
          <w:b/>
        </w:rPr>
        <w:t xml:space="preserve">4. </w:t>
      </w:r>
      <w:r w:rsidR="00B44313" w:rsidRPr="003836C6">
        <w:rPr>
          <w:rFonts w:ascii="Bookman Old Style" w:hAnsi="Bookman Old Style"/>
          <w:b/>
        </w:rPr>
        <w:t>La mancata presentazione della comunicazione di avvio autonomo a recupero di cui al comma 2 entro i termini di legge, è da intendersi quale scelta dell’utenza non domestica di avvalersi del servizio pubblico.</w:t>
      </w:r>
    </w:p>
    <w:p w14:paraId="57F10E1E" w14:textId="0BFFECA9" w:rsidR="00B44313" w:rsidRPr="003836C6" w:rsidRDefault="00074AAA" w:rsidP="00B44313">
      <w:pPr>
        <w:spacing w:after="40" w:line="257" w:lineRule="auto"/>
        <w:ind w:left="502" w:firstLine="0"/>
        <w:jc w:val="both"/>
        <w:rPr>
          <w:rFonts w:ascii="Bookman Old Style" w:hAnsi="Bookman Old Style"/>
          <w:b/>
        </w:rPr>
      </w:pPr>
      <w:r w:rsidRPr="003836C6">
        <w:rPr>
          <w:rFonts w:ascii="Bookman Old Style" w:hAnsi="Bookman Old Style"/>
          <w:b/>
        </w:rPr>
        <w:t xml:space="preserve">5. </w:t>
      </w:r>
      <w:r w:rsidR="00B44313" w:rsidRPr="003836C6">
        <w:rPr>
          <w:rFonts w:ascii="Bookman Old Style" w:hAnsi="Bookman Old Style"/>
          <w:b/>
        </w:rPr>
        <w:t>Le utenze non domestiche che intendono riprendere ad usufruire del servizio pubblico prima della scadenza del periodo di esercizio dell’opzione di avvalersi di operatori privati, devono comunicarlo tramite PEC al Ges</w:t>
      </w:r>
      <w:r w:rsidRPr="003836C6">
        <w:rPr>
          <w:rFonts w:ascii="Bookman Old Style" w:hAnsi="Bookman Old Style"/>
          <w:b/>
        </w:rPr>
        <w:t>tore e per conoscenza al Comune,</w:t>
      </w:r>
      <w:r w:rsidR="00B44313" w:rsidRPr="003836C6">
        <w:rPr>
          <w:rFonts w:ascii="Bookman Old Style" w:hAnsi="Bookman Old Style"/>
          <w:b/>
        </w:rPr>
        <w:t xml:space="preserve"> fatte salve ulteriori indicazioni del G</w:t>
      </w:r>
      <w:r w:rsidRPr="003836C6">
        <w:rPr>
          <w:rFonts w:ascii="Bookman Old Style" w:hAnsi="Bookman Old Style"/>
          <w:b/>
        </w:rPr>
        <w:t xml:space="preserve">estore medesimo, entro la data del 30 giugno, </w:t>
      </w:r>
      <w:r w:rsidR="00B44313" w:rsidRPr="003836C6">
        <w:rPr>
          <w:rFonts w:ascii="Bookman Old Style" w:hAnsi="Bookman Old Style"/>
          <w:b/>
        </w:rPr>
        <w:t>con effetti a decorrere dal 1° gennaio dell’anno successivo. Il Gestore comunica l’eventual</w:t>
      </w:r>
      <w:r w:rsidRPr="003836C6">
        <w:rPr>
          <w:rFonts w:ascii="Bookman Old Style" w:hAnsi="Bookman Old Style"/>
          <w:b/>
        </w:rPr>
        <w:t xml:space="preserve">e non accoglimento dell’istanza </w:t>
      </w:r>
      <w:r w:rsidR="00B44313" w:rsidRPr="003836C6">
        <w:rPr>
          <w:rFonts w:ascii="Bookman Old Style" w:hAnsi="Bookman Old Style"/>
          <w:b/>
        </w:rPr>
        <w:t xml:space="preserve"> entro </w:t>
      </w:r>
      <w:r w:rsidR="00B44313" w:rsidRPr="003836C6">
        <w:rPr>
          <w:rFonts w:ascii="Bookman Old Style" w:hAnsi="Bookman Old Style"/>
          <w:b/>
          <w:color w:val="FF0000"/>
        </w:rPr>
        <w:t xml:space="preserve">[specificare il termine es. 30 giorni] </w:t>
      </w:r>
      <w:r w:rsidR="00B44313" w:rsidRPr="003836C6">
        <w:rPr>
          <w:rFonts w:ascii="Bookman Old Style" w:hAnsi="Bookman Old Style"/>
          <w:b/>
        </w:rPr>
        <w:t>dalla ricezione della stessa dandone comunicazione anche al Comune. Decorso tale termine, in assenza di comunicazioni del Gestore, l’istanza si intende accolta</w:t>
      </w:r>
      <w:r w:rsidRPr="00C51859">
        <w:rPr>
          <w:rStyle w:val="Rimandonotaapidipagina"/>
          <w:rFonts w:ascii="Bookman Old Style" w:hAnsi="Bookman Old Style"/>
          <w:b/>
          <w:sz w:val="18"/>
          <w:szCs w:val="18"/>
          <w:vertAlign w:val="superscript"/>
        </w:rPr>
        <w:footnoteReference w:id="42"/>
      </w:r>
      <w:r w:rsidR="00B44313" w:rsidRPr="003836C6">
        <w:rPr>
          <w:rFonts w:ascii="Bookman Old Style" w:hAnsi="Bookman Old Style"/>
          <w:b/>
        </w:rPr>
        <w:t>.</w:t>
      </w:r>
    </w:p>
    <w:p w14:paraId="55B7878A" w14:textId="24BEE31B" w:rsidR="00B44313" w:rsidRPr="003836C6" w:rsidRDefault="00074AAA" w:rsidP="00B44313">
      <w:pPr>
        <w:spacing w:after="40" w:line="257" w:lineRule="auto"/>
        <w:ind w:left="502" w:firstLine="0"/>
        <w:jc w:val="both"/>
        <w:rPr>
          <w:rFonts w:ascii="Bookman Old Style" w:hAnsi="Bookman Old Style"/>
          <w:b/>
        </w:rPr>
      </w:pPr>
      <w:r w:rsidRPr="003836C6">
        <w:rPr>
          <w:rFonts w:ascii="Bookman Old Style" w:hAnsi="Bookman Old Style"/>
          <w:b/>
        </w:rPr>
        <w:t xml:space="preserve">6. </w:t>
      </w:r>
      <w:r w:rsidR="00B44313" w:rsidRPr="003836C6">
        <w:rPr>
          <w:rFonts w:ascii="Bookman Old Style" w:hAnsi="Bookman Old Style"/>
          <w:b/>
        </w:rPr>
        <w:t xml:space="preserve">Entro il [specificare la data]  di ciascun anno l’utenza non domestica che ha conferito in tutto o in parte i propri rifiuti urbani a recupero al di fuori del servizio pubblico, deve comunicare al Comune - tramite PEC o altro strumento telematico in grado di assicurare la certezza e la verificabilità dell’avvenuto scambio di dati - e per conoscenza al Gestore, </w:t>
      </w:r>
      <w:r w:rsidRPr="003836C6">
        <w:rPr>
          <w:rFonts w:ascii="Bookman Old Style" w:hAnsi="Bookman Old Style"/>
          <w:b/>
        </w:rPr>
        <w:t xml:space="preserve">utilizzando specifico modello predisposto dal Comune, </w:t>
      </w:r>
      <w:r w:rsidR="00B44313" w:rsidRPr="003836C6">
        <w:rPr>
          <w:rFonts w:ascii="Bookman Old Style" w:hAnsi="Bookman Old Style"/>
          <w:b/>
        </w:rPr>
        <w:t>almeno le seguenti informazioni, fatte salve ulteriori indicazioni del Gestore medesimo:</w:t>
      </w:r>
    </w:p>
    <w:p w14:paraId="7CD78F86" w14:textId="023A9302" w:rsidR="00B44313" w:rsidRPr="003836C6" w:rsidRDefault="00B44313" w:rsidP="00B44313">
      <w:pPr>
        <w:spacing w:after="40" w:line="257" w:lineRule="auto"/>
        <w:ind w:left="502" w:firstLine="0"/>
        <w:jc w:val="both"/>
        <w:rPr>
          <w:rFonts w:ascii="Bookman Old Style" w:hAnsi="Bookman Old Style"/>
          <w:b/>
        </w:rPr>
      </w:pPr>
      <w:r w:rsidRPr="003836C6">
        <w:rPr>
          <w:rFonts w:ascii="Bookman Old Style" w:hAnsi="Bookman Old Style"/>
          <w:b/>
        </w:rPr>
        <w:t>a)</w:t>
      </w:r>
      <w:r w:rsidRPr="003836C6">
        <w:rPr>
          <w:rFonts w:ascii="Bookman Old Style" w:hAnsi="Bookman Old Style"/>
          <w:b/>
        </w:rPr>
        <w:tab/>
      </w:r>
      <w:r w:rsidR="00074AAA" w:rsidRPr="003836C6">
        <w:rPr>
          <w:rFonts w:ascii="Bookman Old Style" w:hAnsi="Bookman Old Style"/>
          <w:b/>
        </w:rPr>
        <w:t xml:space="preserve"> </w:t>
      </w:r>
      <w:r w:rsidRPr="003836C6">
        <w:rPr>
          <w:rFonts w:ascii="Bookman Old Style" w:hAnsi="Bookman Old Style"/>
          <w:b/>
        </w:rPr>
        <w:t>i dati identificativi dell’utente, tra i quali: denominazione societaria o dell’ente titolare dell’utenza, partita IVA o codice fiscale per i soggetti privi di partita IVA codice utente;</w:t>
      </w:r>
    </w:p>
    <w:p w14:paraId="74A9F213" w14:textId="0829C961" w:rsidR="00B44313" w:rsidRPr="003836C6" w:rsidRDefault="00B44313" w:rsidP="00B44313">
      <w:pPr>
        <w:spacing w:after="40" w:line="257" w:lineRule="auto"/>
        <w:ind w:left="502" w:firstLine="0"/>
        <w:jc w:val="both"/>
        <w:rPr>
          <w:rFonts w:ascii="Bookman Old Style" w:hAnsi="Bookman Old Style"/>
          <w:b/>
        </w:rPr>
      </w:pPr>
      <w:r w:rsidRPr="003836C6">
        <w:rPr>
          <w:rFonts w:ascii="Bookman Old Style" w:hAnsi="Bookman Old Style"/>
          <w:b/>
        </w:rPr>
        <w:t>b)</w:t>
      </w:r>
      <w:r w:rsidR="00074AAA" w:rsidRPr="003836C6">
        <w:rPr>
          <w:rFonts w:ascii="Bookman Old Style" w:hAnsi="Bookman Old Style"/>
          <w:b/>
        </w:rPr>
        <w:t xml:space="preserve"> </w:t>
      </w:r>
      <w:r w:rsidRPr="003836C6">
        <w:rPr>
          <w:rFonts w:ascii="Bookman Old Style" w:hAnsi="Bookman Old Style"/>
          <w:b/>
        </w:rPr>
        <w:t>il recapito postale e l’indirizzo di posta elettronica certificata dell’utente;</w:t>
      </w:r>
    </w:p>
    <w:p w14:paraId="36B8C068" w14:textId="461F453C" w:rsidR="00B44313" w:rsidRPr="003836C6" w:rsidRDefault="00B44313" w:rsidP="00B44313">
      <w:pPr>
        <w:spacing w:after="40" w:line="257" w:lineRule="auto"/>
        <w:ind w:left="502" w:firstLine="0"/>
        <w:jc w:val="both"/>
        <w:rPr>
          <w:rFonts w:ascii="Bookman Old Style" w:hAnsi="Bookman Old Style"/>
          <w:b/>
        </w:rPr>
      </w:pPr>
      <w:r w:rsidRPr="003836C6">
        <w:rPr>
          <w:rFonts w:ascii="Bookman Old Style" w:hAnsi="Bookman Old Style"/>
          <w:b/>
        </w:rPr>
        <w:t>c)</w:t>
      </w:r>
      <w:r w:rsidR="00074AAA" w:rsidRPr="003836C6">
        <w:rPr>
          <w:rFonts w:ascii="Bookman Old Style" w:hAnsi="Bookman Old Style"/>
          <w:b/>
        </w:rPr>
        <w:t xml:space="preserve"> </w:t>
      </w:r>
      <w:r w:rsidRPr="003836C6">
        <w:rPr>
          <w:rFonts w:ascii="Bookman Old Style" w:hAnsi="Bookman Old Style"/>
          <w:b/>
        </w:rPr>
        <w:t>i dati identificativi dell’utenza: codice utenza, indirizzo e dati catastali dell’immobile, tipologia di attività svolta;</w:t>
      </w:r>
    </w:p>
    <w:p w14:paraId="68BA3935" w14:textId="38AFF513" w:rsidR="00B44313" w:rsidRPr="003836C6" w:rsidRDefault="00B44313" w:rsidP="00B44313">
      <w:pPr>
        <w:spacing w:after="40" w:line="257" w:lineRule="auto"/>
        <w:ind w:left="502" w:firstLine="0"/>
        <w:jc w:val="both"/>
        <w:rPr>
          <w:rFonts w:ascii="Bookman Old Style" w:hAnsi="Bookman Old Style"/>
          <w:b/>
        </w:rPr>
      </w:pPr>
      <w:r w:rsidRPr="003836C6">
        <w:rPr>
          <w:rFonts w:ascii="Bookman Old Style" w:hAnsi="Bookman Old Style"/>
          <w:b/>
        </w:rPr>
        <w:t>d)</w:t>
      </w:r>
      <w:r w:rsidR="00074AAA" w:rsidRPr="003836C6">
        <w:rPr>
          <w:rFonts w:ascii="Bookman Old Style" w:hAnsi="Bookman Old Style"/>
          <w:b/>
        </w:rPr>
        <w:t xml:space="preserve"> </w:t>
      </w:r>
      <w:r w:rsidRPr="003836C6">
        <w:rPr>
          <w:rFonts w:ascii="Bookman Old Style" w:hAnsi="Bookman Old Style"/>
          <w:b/>
        </w:rPr>
        <w:t>i dati sui quantitativi di rifiuti complessivamente prodotti, suddivisi per frazione merceologica (distinti per codice EER);</w:t>
      </w:r>
    </w:p>
    <w:p w14:paraId="4B31A7E1" w14:textId="5159B16B" w:rsidR="00B44313" w:rsidRPr="003836C6" w:rsidRDefault="00B44313" w:rsidP="00B44313">
      <w:pPr>
        <w:spacing w:after="40" w:line="257" w:lineRule="auto"/>
        <w:ind w:left="502" w:firstLine="0"/>
        <w:jc w:val="both"/>
        <w:rPr>
          <w:rFonts w:ascii="Bookman Old Style" w:hAnsi="Bookman Old Style"/>
          <w:b/>
        </w:rPr>
      </w:pPr>
      <w:r w:rsidRPr="003836C6">
        <w:rPr>
          <w:rFonts w:ascii="Bookman Old Style" w:hAnsi="Bookman Old Style"/>
          <w:b/>
        </w:rPr>
        <w:t>e)</w:t>
      </w:r>
      <w:r w:rsidR="00074AAA" w:rsidRPr="003836C6">
        <w:rPr>
          <w:rFonts w:ascii="Bookman Old Style" w:hAnsi="Bookman Old Style"/>
          <w:b/>
        </w:rPr>
        <w:t xml:space="preserve"> </w:t>
      </w:r>
      <w:r w:rsidRPr="003836C6">
        <w:rPr>
          <w:rFonts w:ascii="Bookman Old Style" w:hAnsi="Bookman Old Style"/>
          <w:b/>
        </w:rPr>
        <w:t>i dati sui quantitativi di rifiuti, suddivisi per frazione merceologica (distinti per codice EER), effettivamente avviati a recupero o riciclo al di fuori del servizio pubblico con riferimento all’anno precedente, quali risultanti dalla/e attestazione/i rilasciata/e dal/i soggetto/i che effettua/no l’attività di recupero o riciclo dei rifiuti stessi che devono essere allegate alla documentazione presentata;</w:t>
      </w:r>
    </w:p>
    <w:p w14:paraId="4B0245B8" w14:textId="77777777" w:rsidR="00B44313" w:rsidRPr="003836C6" w:rsidRDefault="00B44313" w:rsidP="00B44313">
      <w:pPr>
        <w:spacing w:after="40" w:line="257" w:lineRule="auto"/>
        <w:ind w:left="502" w:firstLine="0"/>
        <w:jc w:val="both"/>
        <w:rPr>
          <w:rFonts w:ascii="Bookman Old Style" w:hAnsi="Bookman Old Style"/>
          <w:b/>
        </w:rPr>
      </w:pPr>
      <w:r w:rsidRPr="003836C6">
        <w:rPr>
          <w:rFonts w:ascii="Bookman Old Style" w:hAnsi="Bookman Old Style"/>
          <w:b/>
        </w:rPr>
        <w:t>f)</w:t>
      </w:r>
      <w:r w:rsidRPr="003836C6">
        <w:rPr>
          <w:rFonts w:ascii="Bookman Old Style" w:hAnsi="Bookman Old Style"/>
          <w:b/>
        </w:rPr>
        <w:tab/>
        <w:t xml:space="preserve">i dati identificativi dell’impianto/degli impianti di recupero o riciclo cui sono stati conferiti tali rifiuti (denominazione o ragione sociale, partita IVA o codice fiscale, localizzazione, attività svolta), allegando attestazione rilasciata dal soggetto che ha effettuato l'attività di recupero/riciclo dei rifiuti stessi, che </w:t>
      </w:r>
      <w:r w:rsidRPr="003836C6">
        <w:rPr>
          <w:rFonts w:ascii="Bookman Old Style" w:hAnsi="Bookman Old Style"/>
          <w:b/>
        </w:rPr>
        <w:lastRenderedPageBreak/>
        <w:t>deve contenere anche i dati dell’utenza cui i rifiuti si riferiscono e il periodo durante il quale ha avuto luogo l’operazione di recupero.</w:t>
      </w:r>
    </w:p>
    <w:p w14:paraId="31397BA9" w14:textId="77777777" w:rsidR="00B44313" w:rsidRPr="003836C6" w:rsidRDefault="00B44313" w:rsidP="00B44313">
      <w:pPr>
        <w:spacing w:after="40" w:line="257" w:lineRule="auto"/>
        <w:ind w:left="502" w:firstLine="0"/>
        <w:jc w:val="both"/>
        <w:rPr>
          <w:rFonts w:ascii="Bookman Old Style" w:hAnsi="Bookman Old Style"/>
          <w:b/>
        </w:rPr>
      </w:pPr>
      <w:r w:rsidRPr="003836C6">
        <w:rPr>
          <w:rFonts w:ascii="Bookman Old Style" w:hAnsi="Bookman Old Style"/>
          <w:b/>
        </w:rPr>
        <w:t xml:space="preserve">Entro 60 giorni lavorativi dalla data di ricevimento di tale documentazione, il Comune comunica all’utenza non domestica l’esito della verifica. </w:t>
      </w:r>
    </w:p>
    <w:p w14:paraId="0549D7BE" w14:textId="28470D69" w:rsidR="00B44313" w:rsidRPr="003836C6" w:rsidRDefault="0040332A" w:rsidP="00B44313">
      <w:pPr>
        <w:spacing w:after="40" w:line="257" w:lineRule="auto"/>
        <w:ind w:left="502" w:firstLine="0"/>
        <w:jc w:val="both"/>
        <w:rPr>
          <w:rFonts w:ascii="Bookman Old Style" w:hAnsi="Bookman Old Style"/>
          <w:b/>
        </w:rPr>
      </w:pPr>
      <w:r w:rsidRPr="003836C6">
        <w:rPr>
          <w:rFonts w:ascii="Bookman Old Style" w:hAnsi="Bookman Old Style"/>
          <w:b/>
        </w:rPr>
        <w:t xml:space="preserve">7. </w:t>
      </w:r>
      <w:r w:rsidR="00B44313" w:rsidRPr="003836C6">
        <w:rPr>
          <w:rFonts w:ascii="Bookman Old Style" w:hAnsi="Bookman Old Style"/>
          <w:b/>
        </w:rPr>
        <w:t>Il Comune ha facoltà di effettuare controlli ed ispezioni al fine di verificare la coerenza e la correttezza delle rendicontazioni presentate rispetto all’attività svolta ed alle quantità prodotte. Nel caso di comportamenti non corretti o dichiarazioni mendaci, il Comune provvede al recupero della tariffa dovuta fatta salva la possibilità di prova contraria da parte dell’utente e si applicano le sanzioni previste all’ART.38, ferm</w:t>
      </w:r>
      <w:r w:rsidR="004E2F27">
        <w:rPr>
          <w:rFonts w:ascii="Bookman Old Style" w:hAnsi="Bookman Old Style"/>
          <w:b/>
        </w:rPr>
        <w:t>e</w:t>
      </w:r>
      <w:r w:rsidR="00B44313" w:rsidRPr="003836C6">
        <w:rPr>
          <w:rFonts w:ascii="Bookman Old Style" w:hAnsi="Bookman Old Style"/>
          <w:b/>
        </w:rPr>
        <w:t xml:space="preserve"> restando</w:t>
      </w:r>
      <w:r w:rsidR="004E2F27">
        <w:rPr>
          <w:rFonts w:ascii="Bookman Old Style" w:hAnsi="Bookman Old Style"/>
          <w:b/>
        </w:rPr>
        <w:t xml:space="preserve"> le previsioni in caso di </w:t>
      </w:r>
      <w:r w:rsidR="00B44313" w:rsidRPr="003836C6">
        <w:rPr>
          <w:rFonts w:ascii="Bookman Old Style" w:hAnsi="Bookman Old Style"/>
          <w:b/>
        </w:rPr>
        <w:t>più gravi violazioni.</w:t>
      </w:r>
    </w:p>
    <w:p w14:paraId="4FB83D5D" w14:textId="441CBAE9" w:rsidR="0062038D" w:rsidRPr="0040332A" w:rsidRDefault="0040332A" w:rsidP="00B44313">
      <w:pPr>
        <w:spacing w:after="40" w:line="257" w:lineRule="auto"/>
        <w:ind w:left="502" w:firstLine="0"/>
        <w:jc w:val="both"/>
        <w:rPr>
          <w:rFonts w:ascii="Bookman Old Style" w:hAnsi="Bookman Old Style"/>
          <w:b/>
        </w:rPr>
      </w:pPr>
      <w:r w:rsidRPr="003836C6">
        <w:rPr>
          <w:rFonts w:ascii="Bookman Old Style" w:hAnsi="Bookman Old Style"/>
          <w:b/>
        </w:rPr>
        <w:t xml:space="preserve">8. </w:t>
      </w:r>
      <w:r w:rsidR="00B44313" w:rsidRPr="003836C6">
        <w:rPr>
          <w:rFonts w:ascii="Bookman Old Style" w:hAnsi="Bookman Old Style"/>
          <w:b/>
        </w:rPr>
        <w:t>La parte variabile viene esclusa o ridotta in via previsionale ed è soggetta a conguaglio. Nel caso di omessa presentazione della rendicontazione dell’attività di recupero svolta nei termini previsti dal presente regolamento, ovvero quando non sia dimostrato il totale recupero dei rifiuti dichiarati, il Comune provvede al recupero della quota variabile della tariffa indebitamente esclusa dalla tassazione.</w:t>
      </w:r>
      <w:r w:rsidR="00B44313" w:rsidRPr="0040332A">
        <w:rPr>
          <w:rFonts w:ascii="Bookman Old Style" w:hAnsi="Bookman Old Style"/>
          <w:b/>
        </w:rPr>
        <w:t xml:space="preserve"> </w:t>
      </w:r>
    </w:p>
    <w:p w14:paraId="12C25875" w14:textId="77777777" w:rsidR="00FF6DE9" w:rsidRDefault="00FF6DE9" w:rsidP="00147AE8">
      <w:pPr>
        <w:spacing w:after="40" w:line="257" w:lineRule="auto"/>
        <w:ind w:left="502" w:firstLine="0"/>
        <w:jc w:val="both"/>
        <w:rPr>
          <w:rFonts w:ascii="Bookman Old Style" w:hAnsi="Bookman Old Style"/>
        </w:rPr>
      </w:pPr>
    </w:p>
    <w:sectPr w:rsidR="00FF6DE9" w:rsidSect="009913C6">
      <w:footerReference w:type="default" r:id="rId14"/>
      <w:pgSz w:w="11906" w:h="16838"/>
      <w:pgMar w:top="1417" w:right="127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845B" w14:textId="77777777" w:rsidR="005B51D7" w:rsidRDefault="005B51D7" w:rsidP="002149FA">
      <w:r>
        <w:separator/>
      </w:r>
    </w:p>
  </w:endnote>
  <w:endnote w:type="continuationSeparator" w:id="0">
    <w:p w14:paraId="753CCBC7" w14:textId="77777777" w:rsidR="005B51D7" w:rsidRDefault="005B51D7" w:rsidP="002149FA">
      <w:r>
        <w:continuationSeparator/>
      </w:r>
    </w:p>
  </w:endnote>
  <w:endnote w:type="continuationNotice" w:id="1">
    <w:p w14:paraId="34C2D182" w14:textId="77777777" w:rsidR="005B51D7" w:rsidRDefault="005B5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tka Subheading">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528666"/>
      <w:docPartObj>
        <w:docPartGallery w:val="Page Numbers (Bottom of Page)"/>
        <w:docPartUnique/>
      </w:docPartObj>
    </w:sdtPr>
    <w:sdtContent>
      <w:p w14:paraId="67BC058C" w14:textId="77777777" w:rsidR="00EF4AA3" w:rsidRDefault="00EF4AA3">
        <w:pPr>
          <w:pStyle w:val="Pidipagina"/>
          <w:jc w:val="center"/>
        </w:pPr>
        <w:r>
          <w:fldChar w:fldCharType="begin"/>
        </w:r>
        <w:r>
          <w:instrText>PAGE   \* MERGEFORMAT</w:instrText>
        </w:r>
        <w:r>
          <w:fldChar w:fldCharType="separate"/>
        </w:r>
        <w:r w:rsidR="002C29EE">
          <w:rPr>
            <w:noProof/>
          </w:rPr>
          <w:t>15</w:t>
        </w:r>
        <w:r>
          <w:fldChar w:fldCharType="end"/>
        </w:r>
      </w:p>
    </w:sdtContent>
  </w:sdt>
  <w:p w14:paraId="67BC058D" w14:textId="77777777" w:rsidR="00EF4AA3" w:rsidRDefault="00EF4A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C247" w14:textId="77777777" w:rsidR="005B51D7" w:rsidRDefault="005B51D7" w:rsidP="002149FA">
      <w:r>
        <w:separator/>
      </w:r>
    </w:p>
  </w:footnote>
  <w:footnote w:type="continuationSeparator" w:id="0">
    <w:p w14:paraId="254767D0" w14:textId="77777777" w:rsidR="005B51D7" w:rsidRDefault="005B51D7" w:rsidP="002149FA">
      <w:r>
        <w:continuationSeparator/>
      </w:r>
    </w:p>
  </w:footnote>
  <w:footnote w:type="continuationNotice" w:id="1">
    <w:p w14:paraId="561B864C" w14:textId="77777777" w:rsidR="005B51D7" w:rsidRDefault="005B51D7"/>
  </w:footnote>
  <w:footnote w:id="2">
    <w:p w14:paraId="52044717" w14:textId="77777777" w:rsidR="00776483" w:rsidRPr="00760A50" w:rsidRDefault="00776483" w:rsidP="00776483">
      <w:pPr>
        <w:pStyle w:val="Testonotaapidipagina"/>
        <w:jc w:val="both"/>
        <w:rPr>
          <w:rFonts w:ascii="Bookman Old Style" w:hAnsi="Bookman Old Style"/>
          <w:sz w:val="18"/>
          <w:szCs w:val="18"/>
        </w:rPr>
      </w:pPr>
      <w:r w:rsidRPr="00B715AB">
        <w:rPr>
          <w:rStyle w:val="Rimandonotaapidipagina"/>
          <w:rFonts w:ascii="Bookman Old Style" w:hAnsi="Bookman Old Style"/>
          <w:sz w:val="16"/>
          <w:szCs w:val="16"/>
        </w:rPr>
        <w:footnoteRef/>
      </w:r>
      <w:r w:rsidRPr="00B715AB">
        <w:rPr>
          <w:rFonts w:ascii="Bookman Old Style" w:hAnsi="Bookman Old Style"/>
          <w:sz w:val="16"/>
          <w:szCs w:val="16"/>
        </w:rPr>
        <w:t xml:space="preserve"> </w:t>
      </w:r>
      <w:r w:rsidRPr="00760A50">
        <w:rPr>
          <w:rFonts w:ascii="Bookman Old Style" w:hAnsi="Bookman Old Style"/>
          <w:sz w:val="18"/>
          <w:szCs w:val="18"/>
        </w:rPr>
        <w:t>L’art. 1, comma 668, legge 147/2013, dispone che la tariffa corrispettiva è applicata e riscossa dal soggetto affidatario del servizio gestione dei rifiuti urbani.</w:t>
      </w:r>
    </w:p>
  </w:footnote>
  <w:footnote w:id="3">
    <w:p w14:paraId="60E84D0C" w14:textId="2749384A" w:rsidR="001D27F7" w:rsidRPr="00760A50" w:rsidRDefault="001D27F7">
      <w:pPr>
        <w:pStyle w:val="Testonotaapidipagina"/>
        <w:rPr>
          <w:rFonts w:ascii="Bookman Old Style" w:hAnsi="Bookman Old Style"/>
          <w:sz w:val="18"/>
          <w:szCs w:val="18"/>
        </w:rPr>
      </w:pPr>
      <w:r w:rsidRPr="00B715AB">
        <w:rPr>
          <w:rStyle w:val="Rimandonotaapidipagina"/>
          <w:rFonts w:ascii="Bookman Old Style" w:hAnsi="Bookman Old Style"/>
          <w:sz w:val="16"/>
          <w:szCs w:val="16"/>
        </w:rPr>
        <w:footnoteRef/>
      </w:r>
      <w:r w:rsidRPr="00B715AB">
        <w:rPr>
          <w:rFonts w:ascii="Bookman Old Style" w:hAnsi="Bookman Old Style"/>
          <w:sz w:val="16"/>
          <w:szCs w:val="16"/>
        </w:rPr>
        <w:t xml:space="preserve"> </w:t>
      </w:r>
      <w:r w:rsidRPr="00760A50">
        <w:rPr>
          <w:rFonts w:ascii="Bookman Old Style" w:hAnsi="Bookman Old Style"/>
          <w:sz w:val="18"/>
          <w:szCs w:val="18"/>
        </w:rPr>
        <w:t xml:space="preserve">Si veda anche nota IFEL del </w:t>
      </w:r>
      <w:r w:rsidR="00776483" w:rsidRPr="00760A50">
        <w:rPr>
          <w:rFonts w:ascii="Bookman Old Style" w:hAnsi="Bookman Old Style"/>
          <w:sz w:val="18"/>
          <w:szCs w:val="18"/>
        </w:rPr>
        <w:t>6</w:t>
      </w:r>
      <w:r w:rsidRPr="00760A50">
        <w:rPr>
          <w:rFonts w:ascii="Bookman Old Style" w:hAnsi="Bookman Old Style"/>
          <w:sz w:val="18"/>
          <w:szCs w:val="18"/>
        </w:rPr>
        <w:t xml:space="preserve"> aprile 2022 “</w:t>
      </w:r>
      <w:hyperlink r:id="rId1" w:history="1">
        <w:r w:rsidRPr="00760A50">
          <w:rPr>
            <w:rStyle w:val="Collegamentoipertestuale"/>
            <w:rFonts w:ascii="Bookman Old Style" w:hAnsi="Bookman Old Style"/>
            <w:sz w:val="18"/>
            <w:szCs w:val="18"/>
          </w:rPr>
          <w:t>Regolazione rifiuti - La compatibilità tra i poteri regolatori di ARERA e la potestà normativa dei Comuni (fondazioneifel.it)</w:t>
        </w:r>
      </w:hyperlink>
      <w:r w:rsidRPr="00760A50">
        <w:rPr>
          <w:rFonts w:ascii="Bookman Old Style" w:hAnsi="Bookman Old Style"/>
          <w:sz w:val="18"/>
          <w:szCs w:val="18"/>
        </w:rPr>
        <w:t>”</w:t>
      </w:r>
      <w:r w:rsidR="00425CEE">
        <w:rPr>
          <w:rFonts w:ascii="Bookman Old Style" w:hAnsi="Bookman Old Style"/>
          <w:sz w:val="18"/>
          <w:szCs w:val="18"/>
        </w:rPr>
        <w:t>.</w:t>
      </w:r>
    </w:p>
  </w:footnote>
  <w:footnote w:id="4">
    <w:p w14:paraId="0DAE3640" w14:textId="3AEC7A91" w:rsidR="00014948" w:rsidRPr="00760A50" w:rsidRDefault="00014948">
      <w:pPr>
        <w:pStyle w:val="Testonotaapidipagina"/>
        <w:rPr>
          <w:rFonts w:ascii="Bookman Old Style" w:hAnsi="Bookman Old Style"/>
          <w:sz w:val="18"/>
          <w:szCs w:val="18"/>
        </w:rPr>
      </w:pPr>
      <w:r w:rsidRPr="009A7B0F">
        <w:rPr>
          <w:rStyle w:val="Rimandonotaapidipagina"/>
          <w:rFonts w:ascii="Bookman Old Style" w:hAnsi="Bookman Old Style"/>
          <w:sz w:val="16"/>
          <w:szCs w:val="16"/>
        </w:rPr>
        <w:footnoteRef/>
      </w:r>
      <w:r w:rsidRPr="009A7B0F">
        <w:rPr>
          <w:rFonts w:ascii="Bookman Old Style" w:hAnsi="Bookman Old Style"/>
          <w:sz w:val="16"/>
          <w:szCs w:val="16"/>
        </w:rPr>
        <w:t xml:space="preserve"> </w:t>
      </w:r>
      <w:r w:rsidRPr="00760A50">
        <w:rPr>
          <w:rFonts w:ascii="Bookman Old Style" w:hAnsi="Bookman Old Style"/>
          <w:sz w:val="18"/>
          <w:szCs w:val="18"/>
        </w:rPr>
        <w:t xml:space="preserve">Tale necessità </w:t>
      </w:r>
      <w:r w:rsidR="00872F23" w:rsidRPr="00760A50">
        <w:rPr>
          <w:rFonts w:ascii="Bookman Old Style" w:hAnsi="Bookman Old Style"/>
          <w:sz w:val="18"/>
          <w:szCs w:val="18"/>
        </w:rPr>
        <w:t>è stata posta alla base del ciclo di tre webinar dedicati al recepimento della regolazione sulla qualità del servizio nei Comuni che adottano la TARI tributo, effettuati da Ifel il 20 ottobre, il 2 novembre e il 9 novembre 2022 e disponibili sul sito della Fondazione, sezione Formazione.</w:t>
      </w:r>
    </w:p>
  </w:footnote>
  <w:footnote w:id="5">
    <w:p w14:paraId="5DE2751D" w14:textId="77777777" w:rsidR="001E445C" w:rsidRPr="00976CF8" w:rsidRDefault="001E445C" w:rsidP="001E445C">
      <w:pPr>
        <w:pStyle w:val="Testonotaapidipagina"/>
        <w:rPr>
          <w:rFonts w:ascii="Bookman Old Style" w:hAnsi="Bookman Old Style"/>
          <w:sz w:val="18"/>
          <w:szCs w:val="18"/>
        </w:rPr>
      </w:pPr>
      <w:r w:rsidRPr="00B715AB">
        <w:rPr>
          <w:rStyle w:val="Rimandonotaapidipagina"/>
          <w:rFonts w:ascii="Bookman Old Style" w:hAnsi="Bookman Old Style"/>
          <w:sz w:val="16"/>
          <w:szCs w:val="16"/>
        </w:rPr>
        <w:footnoteRef/>
      </w:r>
      <w:r w:rsidRPr="00B715AB">
        <w:rPr>
          <w:rFonts w:ascii="Bookman Old Style" w:hAnsi="Bookman Old Style"/>
          <w:sz w:val="16"/>
          <w:szCs w:val="16"/>
        </w:rPr>
        <w:t xml:space="preserve"> </w:t>
      </w:r>
      <w:r w:rsidRPr="00976CF8">
        <w:rPr>
          <w:rFonts w:ascii="Bookman Old Style" w:hAnsi="Bookman Old Style"/>
          <w:sz w:val="18"/>
          <w:szCs w:val="18"/>
        </w:rPr>
        <w:t>A cui rinvia l’art. 1, comma 527, legge 205/2017.</w:t>
      </w:r>
    </w:p>
  </w:footnote>
  <w:footnote w:id="6">
    <w:p w14:paraId="4D0F8A91" w14:textId="7D0F4BCA" w:rsidR="00C8598C" w:rsidRPr="00976CF8" w:rsidRDefault="00C8598C" w:rsidP="00C8598C">
      <w:pPr>
        <w:pStyle w:val="Testonotaapidipagina"/>
        <w:jc w:val="both"/>
        <w:rPr>
          <w:rFonts w:ascii="Bookman Old Style" w:hAnsi="Bookman Old Style"/>
          <w:sz w:val="18"/>
          <w:szCs w:val="18"/>
        </w:rPr>
      </w:pPr>
      <w:r w:rsidRPr="008F50EB">
        <w:rPr>
          <w:rStyle w:val="Rimandonotaapidipagina"/>
          <w:rFonts w:ascii="Bookman Old Style" w:hAnsi="Bookman Old Style"/>
          <w:sz w:val="16"/>
          <w:szCs w:val="16"/>
        </w:rPr>
        <w:footnoteRef/>
      </w:r>
      <w:r w:rsidRPr="008F50EB">
        <w:rPr>
          <w:rFonts w:ascii="Bookman Old Style" w:hAnsi="Bookman Old Style"/>
          <w:sz w:val="16"/>
          <w:szCs w:val="16"/>
        </w:rPr>
        <w:t xml:space="preserve"> </w:t>
      </w:r>
      <w:r w:rsidRPr="00976CF8">
        <w:rPr>
          <w:rFonts w:ascii="Bookman Old Style" w:hAnsi="Bookman Old Style"/>
          <w:sz w:val="18"/>
          <w:szCs w:val="18"/>
        </w:rPr>
        <w:t>Oppure con i sistemi di misurazione puntuale con contenitori stradali ad accesso controllato mediante tessera associata all’utente che permette l’apertura del cassonetto. Anche in questo caso la richiesta di attivazione del servizio coincide con la richiesta di rilascio della tessera che permette l’apertura del cassonetto stradale.</w:t>
      </w:r>
    </w:p>
  </w:footnote>
  <w:footnote w:id="7">
    <w:p w14:paraId="5BF9938A" w14:textId="4D25095B" w:rsidR="00982991" w:rsidRPr="00976CF8" w:rsidRDefault="00982991" w:rsidP="008E2EF4">
      <w:pPr>
        <w:pStyle w:val="Testonotaapidipagina"/>
        <w:jc w:val="both"/>
        <w:rPr>
          <w:rFonts w:ascii="Bookman Old Style" w:hAnsi="Bookman Old Style"/>
          <w:sz w:val="18"/>
          <w:szCs w:val="18"/>
        </w:rPr>
      </w:pPr>
      <w:r w:rsidRPr="008F50EB">
        <w:rPr>
          <w:rStyle w:val="Rimandonotaapidipagina"/>
          <w:rFonts w:ascii="Bookman Old Style" w:hAnsi="Bookman Old Style"/>
          <w:sz w:val="16"/>
          <w:szCs w:val="16"/>
        </w:rPr>
        <w:footnoteRef/>
      </w:r>
      <w:r w:rsidRPr="008F50EB">
        <w:rPr>
          <w:rFonts w:ascii="Bookman Old Style" w:hAnsi="Bookman Old Style"/>
          <w:sz w:val="16"/>
          <w:szCs w:val="16"/>
        </w:rPr>
        <w:t xml:space="preserve"> </w:t>
      </w:r>
      <w:r w:rsidR="005A35AB" w:rsidRPr="00976CF8">
        <w:rPr>
          <w:rFonts w:ascii="Bookman Old Style" w:hAnsi="Bookman Old Style"/>
          <w:sz w:val="18"/>
          <w:szCs w:val="18"/>
        </w:rPr>
        <w:t>La compatibilità della delibera ARERA con i soli prelievi di natura corrispettiva emerge anche dalla considerazione che la normativa nulla dispone in tema di sanzioni (che comunque devono sottostare al principio di legalità</w:t>
      </w:r>
      <w:r w:rsidR="00F869E0" w:rsidRPr="00976CF8">
        <w:rPr>
          <w:rFonts w:ascii="Bookman Old Style" w:hAnsi="Bookman Old Style"/>
          <w:sz w:val="18"/>
          <w:szCs w:val="18"/>
        </w:rPr>
        <w:t xml:space="preserve"> </w:t>
      </w:r>
      <w:r w:rsidR="007A14A6" w:rsidRPr="00976CF8">
        <w:rPr>
          <w:rFonts w:ascii="Bookman Old Style" w:hAnsi="Bookman Old Style"/>
          <w:sz w:val="18"/>
          <w:szCs w:val="18"/>
        </w:rPr>
        <w:t>in base all’ art. 3, d.lgs. 472/1997</w:t>
      </w:r>
      <w:r w:rsidR="008E2EF4" w:rsidRPr="00976CF8">
        <w:rPr>
          <w:rFonts w:ascii="Bookman Old Style" w:hAnsi="Bookman Old Style"/>
          <w:sz w:val="18"/>
          <w:szCs w:val="18"/>
        </w:rPr>
        <w:t>)</w:t>
      </w:r>
      <w:r w:rsidR="005A35AB" w:rsidRPr="00976CF8">
        <w:rPr>
          <w:rFonts w:ascii="Bookman Old Style" w:hAnsi="Bookman Old Style"/>
          <w:sz w:val="18"/>
          <w:szCs w:val="18"/>
        </w:rPr>
        <w:t>, tant’è che le sanzioni ordinariamente previste nel regolamento sono quelle previste dall’art. 7-bi</w:t>
      </w:r>
      <w:r w:rsidR="00732485" w:rsidRPr="00976CF8">
        <w:rPr>
          <w:rFonts w:ascii="Bookman Old Style" w:hAnsi="Bookman Old Style"/>
          <w:sz w:val="18"/>
          <w:szCs w:val="18"/>
        </w:rPr>
        <w:t>s</w:t>
      </w:r>
      <w:r w:rsidR="007A14A6" w:rsidRPr="00976CF8">
        <w:rPr>
          <w:rFonts w:ascii="Bookman Old Style" w:hAnsi="Bookman Old Style"/>
          <w:sz w:val="18"/>
          <w:szCs w:val="18"/>
        </w:rPr>
        <w:t xml:space="preserve"> </w:t>
      </w:r>
      <w:r w:rsidR="005A35AB" w:rsidRPr="00976CF8">
        <w:rPr>
          <w:rFonts w:ascii="Bookman Old Style" w:hAnsi="Bookman Old Style"/>
          <w:sz w:val="18"/>
          <w:szCs w:val="18"/>
        </w:rPr>
        <w:t>del d.lgs. 267/2000 per le violazioni dei regolamenti comunali.</w:t>
      </w:r>
      <w:r w:rsidR="00AE6FF4" w:rsidRPr="00976CF8">
        <w:rPr>
          <w:rFonts w:ascii="Bookman Old Style" w:hAnsi="Bookman Old Style"/>
          <w:sz w:val="18"/>
          <w:szCs w:val="18"/>
        </w:rPr>
        <w:t xml:space="preserve"> Tale compatibilità, come detto, non sussiste, almeno per tutti gli aspetti disciplinati da ARERA, con riferimento alla TARI, la cui disciplina speciale prevede a fronte di determinanti inadempimenti l’applicazione di specifiche sanzioni, sebbene la delibera percorra un percorso di adattamento (di dubbia legittimità) dei meccanismi tipici dei prelievi di natura corrispettiva al prelievo tributario.</w:t>
      </w:r>
    </w:p>
  </w:footnote>
  <w:footnote w:id="8">
    <w:p w14:paraId="6E9D5C27" w14:textId="52DFECA9" w:rsidR="00640C6C" w:rsidRPr="00976CF8" w:rsidRDefault="00640C6C" w:rsidP="000E6A7D">
      <w:pPr>
        <w:pStyle w:val="Testonotaapidipagina"/>
        <w:jc w:val="both"/>
        <w:rPr>
          <w:rFonts w:ascii="Bookman Old Style" w:hAnsi="Bookman Old Style"/>
          <w:sz w:val="18"/>
          <w:szCs w:val="18"/>
        </w:rPr>
      </w:pPr>
      <w:r w:rsidRPr="008F50EB">
        <w:rPr>
          <w:rStyle w:val="Rimandonotaapidipagina"/>
          <w:rFonts w:ascii="Bookman Old Style" w:hAnsi="Bookman Old Style"/>
          <w:sz w:val="16"/>
          <w:szCs w:val="16"/>
        </w:rPr>
        <w:footnoteRef/>
      </w:r>
      <w:r w:rsidRPr="008F50EB">
        <w:rPr>
          <w:rFonts w:ascii="Bookman Old Style" w:hAnsi="Bookman Old Style"/>
          <w:sz w:val="16"/>
          <w:szCs w:val="16"/>
        </w:rPr>
        <w:t xml:space="preserve"> </w:t>
      </w:r>
      <w:r w:rsidRPr="00976CF8">
        <w:rPr>
          <w:rFonts w:ascii="Bookman Old Style" w:hAnsi="Bookman Old Style"/>
          <w:sz w:val="18"/>
          <w:szCs w:val="18"/>
        </w:rPr>
        <w:t>Si rammenta che l’art. 1, commi 656 e 657, legge 147/2013, prevedono la debenza della TARI, sebbene in misura ridotta, anche per i contribuenti che si trovano in zone del territorio comunale in cui non è effettuato il servizio.</w:t>
      </w:r>
    </w:p>
  </w:footnote>
  <w:footnote w:id="9">
    <w:p w14:paraId="5476E767" w14:textId="6E03C542" w:rsidR="00C8598C" w:rsidRPr="00E10412" w:rsidRDefault="00C8598C" w:rsidP="00C8598C">
      <w:pPr>
        <w:pStyle w:val="Testonotaapidipagina"/>
        <w:jc w:val="both"/>
        <w:rPr>
          <w:rFonts w:ascii="Bookman Old Style" w:hAnsi="Bookman Old Style"/>
          <w:sz w:val="18"/>
          <w:szCs w:val="18"/>
        </w:rPr>
      </w:pPr>
      <w:r w:rsidRPr="00AF642A">
        <w:rPr>
          <w:rStyle w:val="Rimandonotaapidipagina"/>
          <w:rFonts w:ascii="Bookman Old Style" w:hAnsi="Bookman Old Style"/>
          <w:sz w:val="16"/>
          <w:szCs w:val="16"/>
        </w:rPr>
        <w:footnoteRef/>
      </w:r>
      <w:r w:rsidRPr="00AF642A">
        <w:rPr>
          <w:rFonts w:ascii="Bookman Old Style" w:hAnsi="Bookman Old Style"/>
          <w:sz w:val="16"/>
          <w:szCs w:val="16"/>
        </w:rPr>
        <w:t xml:space="preserve"> </w:t>
      </w:r>
      <w:r w:rsidR="00C73D53" w:rsidRPr="00E10412">
        <w:rPr>
          <w:rFonts w:ascii="Bookman Old Style" w:hAnsi="Bookman Old Style"/>
          <w:sz w:val="18"/>
          <w:szCs w:val="18"/>
        </w:rPr>
        <w:t>O</w:t>
      </w:r>
      <w:r w:rsidRPr="00E10412">
        <w:rPr>
          <w:rFonts w:ascii="Bookman Old Style" w:hAnsi="Bookman Old Style"/>
          <w:sz w:val="18"/>
          <w:szCs w:val="18"/>
        </w:rPr>
        <w:t xml:space="preserve"> con sistemi di raccolta con cassonetti ad accesso controllato mediante tessera consegnata all’utente.</w:t>
      </w:r>
    </w:p>
  </w:footnote>
  <w:footnote w:id="10">
    <w:p w14:paraId="13990854" w14:textId="77777777" w:rsidR="00B8468F" w:rsidRPr="00882B42" w:rsidRDefault="00B8468F" w:rsidP="00B8468F">
      <w:pPr>
        <w:pStyle w:val="Testonotaapidipagina"/>
        <w:jc w:val="both"/>
        <w:rPr>
          <w:rFonts w:ascii="Bookman Old Style" w:hAnsi="Bookman Old Style"/>
          <w:sz w:val="18"/>
          <w:szCs w:val="18"/>
        </w:rPr>
      </w:pPr>
      <w:r w:rsidRPr="00AF642A">
        <w:rPr>
          <w:rStyle w:val="Rimandonotaapidipagina"/>
          <w:rFonts w:ascii="Bookman Old Style" w:hAnsi="Bookman Old Style"/>
          <w:sz w:val="16"/>
          <w:szCs w:val="16"/>
        </w:rPr>
        <w:footnoteRef/>
      </w:r>
      <w:r w:rsidRPr="00E10412">
        <w:rPr>
          <w:rFonts w:ascii="Bookman Old Style" w:hAnsi="Bookman Old Style"/>
          <w:sz w:val="18"/>
          <w:szCs w:val="18"/>
        </w:rPr>
        <w:t xml:space="preserve"> </w:t>
      </w:r>
      <w:r w:rsidRPr="00882B42">
        <w:rPr>
          <w:rFonts w:ascii="Bookman Old Style" w:hAnsi="Bookman Old Style"/>
          <w:sz w:val="18"/>
          <w:szCs w:val="18"/>
        </w:rPr>
        <w:t>L’articolo 1, co.684, della legge 147/2013, prevede la scadenza del 30 giugno dell’anno successivo alla data di inizio del possesso o della detenzione dei locali e delle aree assoggettabili al tributo. La Risoluzione MEF n. 2/</w:t>
      </w:r>
      <w:r w:rsidRPr="00882B42">
        <w:rPr>
          <w:rFonts w:ascii="Bookman Old Style" w:hAnsi="Bookman Old Style"/>
          <w:sz w:val="18"/>
          <w:szCs w:val="18"/>
        </w:rPr>
        <w:t>df/2019 precisa che “il termine di presentazione della dichiarazione TARI rimanga fermo al 30 giugno o al diverso termine stabilito dal comune nell’ambito dell’esercizio della propria potestà regolamentare”.</w:t>
      </w:r>
    </w:p>
  </w:footnote>
  <w:footnote w:id="11">
    <w:p w14:paraId="2B639F45" w14:textId="55855EDB" w:rsidR="00E3708A" w:rsidRPr="00E10412" w:rsidRDefault="00E3708A" w:rsidP="00E3708A">
      <w:pPr>
        <w:pStyle w:val="Testonotaapidipagina"/>
        <w:rPr>
          <w:rFonts w:ascii="Bookman Old Style" w:hAnsi="Bookman Old Style"/>
          <w:sz w:val="18"/>
          <w:szCs w:val="18"/>
        </w:rPr>
      </w:pPr>
      <w:r w:rsidRPr="00882B42">
        <w:rPr>
          <w:rStyle w:val="Rimandonotaapidipagina"/>
          <w:rFonts w:ascii="Bookman Old Style" w:hAnsi="Bookman Old Style"/>
          <w:sz w:val="18"/>
          <w:szCs w:val="18"/>
        </w:rPr>
        <w:footnoteRef/>
      </w:r>
      <w:r w:rsidRPr="00882B42">
        <w:rPr>
          <w:rFonts w:ascii="Bookman Old Style" w:hAnsi="Bookman Old Style"/>
          <w:sz w:val="18"/>
          <w:szCs w:val="18"/>
        </w:rPr>
        <w:t xml:space="preserve"> Al riguardo, si consiglia la visione del webinar</w:t>
      </w:r>
      <w:r w:rsidR="00B8468F" w:rsidRPr="00882B42">
        <w:rPr>
          <w:rFonts w:ascii="Bookman Old Style" w:hAnsi="Bookman Old Style"/>
          <w:sz w:val="18"/>
          <w:szCs w:val="18"/>
        </w:rPr>
        <w:t xml:space="preserve"> </w:t>
      </w:r>
      <w:r w:rsidRPr="00882B42">
        <w:rPr>
          <w:rFonts w:ascii="Bookman Old Style" w:hAnsi="Bookman Old Style"/>
          <w:sz w:val="18"/>
          <w:szCs w:val="18"/>
        </w:rPr>
        <w:t>del 20 ottobre 2022</w:t>
      </w:r>
      <w:r w:rsidR="00B8468F" w:rsidRPr="00882B42">
        <w:rPr>
          <w:rFonts w:ascii="Bookman Old Style" w:hAnsi="Bookman Old Style"/>
          <w:sz w:val="18"/>
          <w:szCs w:val="18"/>
        </w:rPr>
        <w:t xml:space="preserve"> e delle relative slide</w:t>
      </w:r>
      <w:r w:rsidRPr="00882B42">
        <w:rPr>
          <w:rFonts w:ascii="Bookman Old Style" w:hAnsi="Bookman Old Style"/>
          <w:sz w:val="18"/>
          <w:szCs w:val="18"/>
        </w:rPr>
        <w:t xml:space="preserve">, disponibile sul sito IFEL all’indirizzo </w:t>
      </w:r>
      <w:hyperlink r:id="rId2" w:history="1">
        <w:r w:rsidRPr="00882B42">
          <w:rPr>
            <w:rStyle w:val="Collegamentoipertestuale"/>
            <w:rFonts w:ascii="Bookman Old Style" w:hAnsi="Bookman Old Style"/>
            <w:sz w:val="18"/>
            <w:szCs w:val="18"/>
          </w:rPr>
          <w:t>https://www.fondazioneifel.it/documenti-e-pubblicazioni/item/11236-video-e-slide-arera-la-gestione-delle-richieste-di-attivazione-variazione-e-cessazione-del-servizio</w:t>
        </w:r>
      </w:hyperlink>
      <w:r w:rsidR="00AF642A">
        <w:rPr>
          <w:rFonts w:ascii="Bookman Old Style" w:hAnsi="Bookman Old Style"/>
          <w:sz w:val="18"/>
          <w:szCs w:val="18"/>
        </w:rPr>
        <w:t>.</w:t>
      </w:r>
    </w:p>
  </w:footnote>
  <w:footnote w:id="12">
    <w:p w14:paraId="5E51459E" w14:textId="2B6C0F4C" w:rsidR="0015598B" w:rsidRPr="00330392" w:rsidRDefault="009E142F" w:rsidP="003A422E">
      <w:pPr>
        <w:pStyle w:val="Testonotaapidipagina"/>
        <w:jc w:val="both"/>
        <w:rPr>
          <w:rFonts w:ascii="Bookman Old Style" w:hAnsi="Bookman Old Style"/>
          <w:sz w:val="18"/>
          <w:szCs w:val="18"/>
        </w:rPr>
      </w:pPr>
      <w:r w:rsidRPr="00330392">
        <w:rPr>
          <w:rStyle w:val="Rimandonotaapidipagina"/>
          <w:rFonts w:ascii="Bookman Old Style" w:hAnsi="Bookman Old Style"/>
          <w:sz w:val="16"/>
          <w:szCs w:val="16"/>
        </w:rPr>
        <w:footnoteRef/>
      </w:r>
      <w:r w:rsidRPr="00330392">
        <w:rPr>
          <w:rFonts w:ascii="Bookman Old Style" w:hAnsi="Bookman Old Style"/>
          <w:sz w:val="16"/>
          <w:szCs w:val="16"/>
        </w:rPr>
        <w:t xml:space="preserve"> </w:t>
      </w:r>
      <w:r w:rsidR="00CE3047" w:rsidRPr="00330392">
        <w:rPr>
          <w:rFonts w:ascii="Bookman Old Style" w:hAnsi="Bookman Old Style"/>
          <w:sz w:val="18"/>
          <w:szCs w:val="18"/>
        </w:rPr>
        <w:t xml:space="preserve">Al riguardo, si consiglia la visione del webinar e delle relative slide del 2 novembre 2022, disponibile sul sito Ifel, all’indirizzo </w:t>
      </w:r>
      <w:hyperlink r:id="rId3" w:history="1">
        <w:r w:rsidR="0015598B" w:rsidRPr="00330392">
          <w:rPr>
            <w:rStyle w:val="Collegamentoipertestuale"/>
            <w:rFonts w:ascii="Bookman Old Style" w:hAnsi="Bookman Old Style"/>
            <w:sz w:val="18"/>
            <w:szCs w:val="18"/>
          </w:rPr>
          <w:t>https://www.fondazioneifel.it/documenti-e-pubblicazioni/item/11251-video-e-slide-la-gestione-dei-reclami-delle-richieste-di-informazioni-e-di-rettifica-degli-importi-addebitati</w:t>
        </w:r>
      </w:hyperlink>
      <w:r w:rsidR="00330392">
        <w:rPr>
          <w:rStyle w:val="Collegamentoipertestuale"/>
          <w:rFonts w:ascii="Bookman Old Style" w:hAnsi="Bookman Old Style"/>
          <w:sz w:val="18"/>
          <w:szCs w:val="18"/>
        </w:rPr>
        <w:t>.</w:t>
      </w:r>
    </w:p>
  </w:footnote>
  <w:footnote w:id="13">
    <w:p w14:paraId="38812F4C" w14:textId="6B93A8F4" w:rsidR="00A325BD" w:rsidRPr="00330392" w:rsidRDefault="00A325BD" w:rsidP="003A422E">
      <w:pPr>
        <w:pStyle w:val="Testonotaapidipagina"/>
        <w:jc w:val="both"/>
        <w:rPr>
          <w:rFonts w:ascii="Bookman Old Style" w:hAnsi="Bookman Old Style"/>
          <w:sz w:val="18"/>
          <w:szCs w:val="18"/>
        </w:rPr>
      </w:pPr>
      <w:r w:rsidRPr="00330392">
        <w:rPr>
          <w:rStyle w:val="Rimandonotaapidipagina"/>
          <w:rFonts w:ascii="Bookman Old Style" w:hAnsi="Bookman Old Style"/>
          <w:sz w:val="16"/>
          <w:szCs w:val="16"/>
        </w:rPr>
        <w:footnoteRef/>
      </w:r>
      <w:r w:rsidRPr="00330392">
        <w:rPr>
          <w:rFonts w:ascii="Bookman Old Style" w:hAnsi="Bookman Old Style"/>
          <w:sz w:val="16"/>
          <w:szCs w:val="16"/>
        </w:rPr>
        <w:t xml:space="preserve"> </w:t>
      </w:r>
      <w:r w:rsidRPr="00330392">
        <w:rPr>
          <w:rFonts w:ascii="Bookman Old Style" w:hAnsi="Bookman Old Style"/>
          <w:sz w:val="18"/>
          <w:szCs w:val="18"/>
        </w:rPr>
        <w:t xml:space="preserve">Al riguardo, si consiglia la visione del webinar e delle relative slide del 9 novembre 2022, disponibile sul sito Ifel, all’indirizzo </w:t>
      </w:r>
      <w:hyperlink r:id="rId4" w:history="1">
        <w:r w:rsidR="000B6228" w:rsidRPr="00330392">
          <w:rPr>
            <w:rStyle w:val="Collegamentoipertestuale"/>
            <w:rFonts w:ascii="Bookman Old Style" w:hAnsi="Bookman Old Style"/>
            <w:sz w:val="18"/>
            <w:szCs w:val="18"/>
          </w:rPr>
          <w:t>https://www.fondazioneifel.it/documenti-e-pubblicazioni/item/11266-video-e-slide-arera-modalita-e-periodicita-di-pagamento-rateizzazione-e-rettifica-degli-importi-dovuti</w:t>
        </w:r>
      </w:hyperlink>
      <w:r w:rsidR="00330392">
        <w:rPr>
          <w:rStyle w:val="Collegamentoipertestuale"/>
          <w:rFonts w:ascii="Bookman Old Style" w:hAnsi="Bookman Old Style"/>
          <w:sz w:val="18"/>
          <w:szCs w:val="18"/>
        </w:rPr>
        <w:t>.</w:t>
      </w:r>
    </w:p>
    <w:p w14:paraId="21BBCE6B" w14:textId="77777777" w:rsidR="000B6228" w:rsidRDefault="000B6228">
      <w:pPr>
        <w:pStyle w:val="Testonotaapidipagina"/>
      </w:pPr>
    </w:p>
  </w:footnote>
  <w:footnote w:id="14">
    <w:p w14:paraId="1F1F0D3D" w14:textId="13FC0124" w:rsidR="0028716D" w:rsidRPr="00E35697" w:rsidRDefault="0028716D" w:rsidP="00BF10E3">
      <w:pPr>
        <w:pStyle w:val="Testonotaapidipagina"/>
        <w:jc w:val="both"/>
        <w:rPr>
          <w:rFonts w:ascii="Bookman Old Style" w:hAnsi="Bookman Old Style"/>
          <w:sz w:val="18"/>
          <w:szCs w:val="18"/>
        </w:rPr>
      </w:pPr>
      <w:r w:rsidRPr="00E35697">
        <w:rPr>
          <w:rStyle w:val="Rimandonotaapidipagina"/>
          <w:rFonts w:ascii="Bookman Old Style" w:hAnsi="Bookman Old Style"/>
          <w:sz w:val="16"/>
          <w:szCs w:val="16"/>
        </w:rPr>
        <w:footnoteRef/>
      </w:r>
      <w:r w:rsidRPr="00E35697">
        <w:rPr>
          <w:rFonts w:ascii="Bookman Old Style" w:hAnsi="Bookman Old Style"/>
          <w:sz w:val="16"/>
          <w:szCs w:val="16"/>
        </w:rPr>
        <w:t xml:space="preserve"> </w:t>
      </w:r>
      <w:r w:rsidRPr="00E35697">
        <w:rPr>
          <w:rFonts w:ascii="Bookman Old Style" w:hAnsi="Bookman Old Style"/>
          <w:sz w:val="18"/>
          <w:szCs w:val="18"/>
        </w:rPr>
        <w:t xml:space="preserve">Si rammenta che </w:t>
      </w:r>
      <w:r w:rsidR="00F741EC" w:rsidRPr="00E35697">
        <w:rPr>
          <w:rFonts w:ascii="Bookman Old Style" w:hAnsi="Bookman Old Style"/>
          <w:sz w:val="18"/>
          <w:szCs w:val="18"/>
        </w:rPr>
        <w:t xml:space="preserve">l’art. 3, comma 5-quinquies, del </w:t>
      </w:r>
      <w:r w:rsidR="00F741EC" w:rsidRPr="00E35697">
        <w:rPr>
          <w:rFonts w:ascii="Bookman Old Style" w:hAnsi="Bookman Old Style"/>
          <w:sz w:val="18"/>
          <w:szCs w:val="18"/>
        </w:rPr>
        <w:t xml:space="preserve">decreto legge 30 dicembre 2021, n. 228 </w:t>
      </w:r>
      <w:r w:rsidR="00BF10E3" w:rsidRPr="00E35697">
        <w:rPr>
          <w:rFonts w:ascii="Bookman Old Style" w:hAnsi="Bookman Old Style"/>
          <w:sz w:val="18"/>
          <w:szCs w:val="18"/>
        </w:rPr>
        <w:t>dispone che “</w:t>
      </w:r>
      <w:r w:rsidR="00BF10E3" w:rsidRPr="00E35697">
        <w:rPr>
          <w:rFonts w:ascii="Bookman Old Style" w:hAnsi="Bookman Old Style"/>
          <w:i/>
          <w:sz w:val="18"/>
          <w:szCs w:val="18"/>
        </w:rPr>
        <w:t>A decorrere dall'anno 2022, i comuni, in deroga all'articolo 1, comma 683, della legge 27 dicembre 2013, n. 147, possono approvare i piani finanziari del servizio di gestione dei rifiuti urbani, le tariffe e i regolamenti della TARI e della tariffa corrispettiva entro il termine del 30 aprile di ciascun anno. Nell'ipotesi in cui il termine per la deliberazione del bilancio di previsione sia prorogato a una data successiva al 30 aprile dell'anno di riferimento, il termine per l'approvazione degli atti di cui al primo periodo coincide con quello per la deliberazione del bilancio di previsione. In caso di approvazione o di modifica dei provvedimenti relativi alla TARI o alla tariffa corrispettiva in data successiva all'approvazione del proprio bilancio di previsione, il comune provvede ad effettuare le conseguenti modifiche in occasione della prima variazione utile</w:t>
      </w:r>
      <w:r w:rsidR="00BF10E3" w:rsidRPr="00E35697">
        <w:rPr>
          <w:rFonts w:ascii="Bookman Old Style" w:hAnsi="Bookman Old Style"/>
          <w:sz w:val="18"/>
          <w:szCs w:val="18"/>
        </w:rPr>
        <w:t>”.</w:t>
      </w:r>
    </w:p>
  </w:footnote>
  <w:footnote w:id="15">
    <w:p w14:paraId="071B6997" w14:textId="4DD9601E" w:rsidR="00446983" w:rsidRPr="00E35697" w:rsidRDefault="00446983" w:rsidP="00446983">
      <w:pPr>
        <w:pStyle w:val="Testonotaapidipagina"/>
        <w:jc w:val="both"/>
        <w:rPr>
          <w:rFonts w:ascii="Bookman Old Style" w:hAnsi="Bookman Old Style"/>
          <w:sz w:val="18"/>
          <w:szCs w:val="18"/>
        </w:rPr>
      </w:pPr>
      <w:r w:rsidRPr="00E35697">
        <w:rPr>
          <w:rStyle w:val="Rimandonotaapidipagina"/>
          <w:rFonts w:ascii="Bookman Old Style" w:hAnsi="Bookman Old Style"/>
          <w:sz w:val="16"/>
          <w:szCs w:val="16"/>
        </w:rPr>
        <w:footnoteRef/>
      </w:r>
      <w:r w:rsidRPr="00E35697">
        <w:rPr>
          <w:rFonts w:ascii="Bookman Old Style" w:hAnsi="Bookman Old Style"/>
          <w:sz w:val="16"/>
          <w:szCs w:val="16"/>
        </w:rPr>
        <w:t xml:space="preserve"> </w:t>
      </w:r>
      <w:r w:rsidRPr="00E35697">
        <w:rPr>
          <w:rFonts w:ascii="Bookman Old Style" w:hAnsi="Bookman Old Style"/>
          <w:sz w:val="18"/>
          <w:szCs w:val="18"/>
        </w:rPr>
        <w:t xml:space="preserve">Prendendo a riferimento lo schema tipo di regolamento TARI predisposto nel 2022 da Anci </w:t>
      </w:r>
      <w:r w:rsidRPr="00E35697">
        <w:rPr>
          <w:rFonts w:ascii="Bookman Old Style" w:hAnsi="Bookman Old Style"/>
          <w:sz w:val="18"/>
          <w:szCs w:val="18"/>
        </w:rPr>
        <w:t xml:space="preserve">Emilia Romagna: </w:t>
      </w:r>
      <w:hyperlink r:id="rId5" w:history="1">
        <w:r w:rsidRPr="00E35697">
          <w:rPr>
            <w:rStyle w:val="Collegamentoipertestuale"/>
            <w:rFonts w:ascii="Bookman Old Style" w:hAnsi="Bookman Old Style"/>
            <w:sz w:val="18"/>
            <w:szCs w:val="18"/>
          </w:rPr>
          <w:t>Schema di regolamento TARI tributo 2022 - ANCI Emilia-Romagna</w:t>
        </w:r>
      </w:hyperlink>
      <w:r w:rsidR="00425CEE">
        <w:rPr>
          <w:rStyle w:val="Collegamentoipertestuale"/>
          <w:rFonts w:ascii="Bookman Old Style" w:hAnsi="Bookman Old Style"/>
          <w:sz w:val="18"/>
          <w:szCs w:val="18"/>
        </w:rPr>
        <w:t>.</w:t>
      </w:r>
    </w:p>
  </w:footnote>
  <w:footnote w:id="16">
    <w:p w14:paraId="3CFFBEFB" w14:textId="12231BFC" w:rsidR="008B7E90" w:rsidRPr="00E35697" w:rsidRDefault="008B7E90">
      <w:pPr>
        <w:pStyle w:val="Testonotaapidipagina"/>
        <w:rPr>
          <w:rFonts w:ascii="Bookman Old Style" w:hAnsi="Bookman Old Style"/>
          <w:sz w:val="18"/>
          <w:szCs w:val="18"/>
        </w:rPr>
      </w:pPr>
      <w:r w:rsidRPr="00E35697">
        <w:rPr>
          <w:rStyle w:val="Rimandonotaapidipagina"/>
          <w:rFonts w:ascii="Bookman Old Style" w:hAnsi="Bookman Old Style"/>
          <w:sz w:val="16"/>
          <w:szCs w:val="16"/>
        </w:rPr>
        <w:footnoteRef/>
      </w:r>
      <w:r w:rsidRPr="00E35697">
        <w:rPr>
          <w:rFonts w:ascii="Bookman Old Style" w:hAnsi="Bookman Old Style"/>
          <w:sz w:val="16"/>
          <w:szCs w:val="16"/>
        </w:rPr>
        <w:t xml:space="preserve"> </w:t>
      </w:r>
      <w:r w:rsidRPr="00E35697">
        <w:rPr>
          <w:rFonts w:ascii="Bookman Old Style" w:hAnsi="Bookman Old Style"/>
          <w:sz w:val="18"/>
          <w:szCs w:val="18"/>
        </w:rPr>
        <w:t>Nel testo sono evidenziate in grassetto.</w:t>
      </w:r>
    </w:p>
  </w:footnote>
  <w:footnote w:id="17">
    <w:p w14:paraId="07A5B0C8" w14:textId="436C43D1" w:rsidR="003207D4" w:rsidRPr="001A14B7" w:rsidRDefault="003207D4" w:rsidP="000216F3">
      <w:pPr>
        <w:pStyle w:val="Testonotaapidipagina"/>
        <w:spacing w:after="20"/>
        <w:jc w:val="both"/>
        <w:rPr>
          <w:rFonts w:ascii="Bookman Old Style" w:hAnsi="Bookman Old Style"/>
          <w:sz w:val="18"/>
          <w:szCs w:val="18"/>
        </w:rPr>
      </w:pPr>
      <w:r w:rsidRPr="001A14B7">
        <w:rPr>
          <w:rStyle w:val="Rimandonotaapidipagina"/>
          <w:rFonts w:ascii="Bookman Old Style" w:hAnsi="Bookman Old Style"/>
          <w:sz w:val="16"/>
          <w:szCs w:val="16"/>
        </w:rPr>
        <w:footnoteRef/>
      </w:r>
      <w:r w:rsidRPr="001A14B7">
        <w:rPr>
          <w:rFonts w:ascii="Bookman Old Style" w:hAnsi="Bookman Old Style"/>
          <w:sz w:val="16"/>
          <w:szCs w:val="16"/>
        </w:rPr>
        <w:t xml:space="preserve"> </w:t>
      </w:r>
      <w:r w:rsidRPr="001A14B7">
        <w:rPr>
          <w:rFonts w:ascii="Bookman Old Style" w:hAnsi="Bookman Old Style"/>
          <w:sz w:val="18"/>
          <w:szCs w:val="18"/>
        </w:rPr>
        <w:t>I tempi di risposta fissati in 30 giorni dagli articoli 8 e 12 non si applicano per i Comuni che si collocano nel quadrante 1 di cui all’art. 3 del TQRIF, per quanto previsto dalla tabella 2 allegata al medesimo TQRIF.</w:t>
      </w:r>
    </w:p>
  </w:footnote>
  <w:footnote w:id="18">
    <w:p w14:paraId="5322D224" w14:textId="2FEC1EE2" w:rsidR="00AD567B" w:rsidRPr="001A14B7" w:rsidRDefault="00AD567B" w:rsidP="000216F3">
      <w:pPr>
        <w:pStyle w:val="Testonotaapidipagina"/>
        <w:spacing w:after="20"/>
        <w:jc w:val="both"/>
        <w:rPr>
          <w:sz w:val="18"/>
          <w:szCs w:val="18"/>
        </w:rPr>
      </w:pPr>
      <w:r w:rsidRPr="001A14B7">
        <w:rPr>
          <w:rStyle w:val="Rimandonotaapidipagina"/>
          <w:sz w:val="16"/>
          <w:szCs w:val="16"/>
        </w:rPr>
        <w:footnoteRef/>
      </w:r>
      <w:r w:rsidRPr="001A14B7">
        <w:rPr>
          <w:sz w:val="16"/>
          <w:szCs w:val="16"/>
        </w:rPr>
        <w:t xml:space="preserve"> </w:t>
      </w:r>
      <w:r w:rsidRPr="001A14B7">
        <w:rPr>
          <w:rFonts w:ascii="Bookman Old Style" w:hAnsi="Bookman Old Style"/>
          <w:sz w:val="18"/>
          <w:szCs w:val="18"/>
        </w:rPr>
        <w:t>Nel caso di gestion</w:t>
      </w:r>
      <w:r w:rsidR="002E16D0" w:rsidRPr="001A14B7">
        <w:rPr>
          <w:rFonts w:ascii="Bookman Old Style" w:hAnsi="Bookman Old Style"/>
          <w:sz w:val="18"/>
          <w:szCs w:val="18"/>
        </w:rPr>
        <w:t>e associate o tramite Unioni.</w:t>
      </w:r>
    </w:p>
  </w:footnote>
  <w:footnote w:id="19">
    <w:p w14:paraId="43581690" w14:textId="1582B60F" w:rsidR="00147AE8" w:rsidRPr="00381976" w:rsidRDefault="00147AE8" w:rsidP="000216F3">
      <w:pPr>
        <w:pStyle w:val="Testonotaapidipagina"/>
        <w:spacing w:after="20"/>
        <w:jc w:val="both"/>
        <w:rPr>
          <w:rFonts w:ascii="Bookman Old Style" w:hAnsi="Bookman Old Style"/>
          <w:sz w:val="18"/>
          <w:szCs w:val="18"/>
        </w:rPr>
      </w:pPr>
      <w:r w:rsidRPr="00381976">
        <w:rPr>
          <w:rStyle w:val="Rimandonotaapidipagina"/>
          <w:rFonts w:ascii="Bookman Old Style" w:hAnsi="Bookman Old Style"/>
          <w:sz w:val="16"/>
          <w:szCs w:val="16"/>
        </w:rPr>
        <w:footnoteRef/>
      </w:r>
      <w:r w:rsidRPr="00381976">
        <w:rPr>
          <w:rFonts w:ascii="Bookman Old Style" w:hAnsi="Bookman Old Style"/>
          <w:sz w:val="16"/>
          <w:szCs w:val="16"/>
        </w:rPr>
        <w:t xml:space="preserve"> </w:t>
      </w:r>
      <w:r w:rsidRPr="00381976">
        <w:rPr>
          <w:rFonts w:ascii="Bookman Old Style" w:hAnsi="Bookman Old Style"/>
          <w:sz w:val="18"/>
          <w:szCs w:val="18"/>
        </w:rPr>
        <w:t>Il termine di 60 giorni lavorativi previsto dall’art. 16, pur non essendo previsto per le gestioni che si collocano nel quadrante 1, è meramente facoltativo ed è comunque derogabile dal Comune, posto che le richieste di rettific</w:t>
      </w:r>
      <w:r w:rsidR="007E566C" w:rsidRPr="00381976">
        <w:rPr>
          <w:rFonts w:ascii="Bookman Old Style" w:hAnsi="Bookman Old Style"/>
          <w:sz w:val="18"/>
          <w:szCs w:val="18"/>
        </w:rPr>
        <w:t>a</w:t>
      </w:r>
      <w:r w:rsidRPr="00381976">
        <w:rPr>
          <w:rFonts w:ascii="Bookman Old Style" w:hAnsi="Bookman Old Style"/>
          <w:sz w:val="18"/>
          <w:szCs w:val="18"/>
        </w:rPr>
        <w:t>, se riferite ad importi pagati, si traducono in una richiesta di rimborso, per la quale l’art. 1, comma 164, legge 296/2006, prevede un termine di 180 giorni per l’emissione del provvedimento di rimborso.</w:t>
      </w:r>
      <w:r w:rsidR="00047EE1" w:rsidRPr="00381976">
        <w:rPr>
          <w:rFonts w:ascii="Bookman Old Style" w:hAnsi="Bookman Old Style"/>
          <w:sz w:val="18"/>
          <w:szCs w:val="18"/>
        </w:rPr>
        <w:t xml:space="preserve"> </w:t>
      </w:r>
      <w:r w:rsidR="00CE1CC6" w:rsidRPr="00381976">
        <w:rPr>
          <w:rFonts w:ascii="Bookman Old Style" w:hAnsi="Bookman Old Style"/>
          <w:sz w:val="18"/>
          <w:szCs w:val="18"/>
        </w:rPr>
        <w:t>Invero, volendo individuare un termine che coordini tutte le disposizioni normative questo dovrebbe essere di 90 giorni, ovvero il termine previsto per l’impugnazione del diniego tacito al rimborso.</w:t>
      </w:r>
    </w:p>
  </w:footnote>
  <w:footnote w:id="20">
    <w:p w14:paraId="25666B8E" w14:textId="77777777" w:rsidR="00147AE8" w:rsidRPr="00381976" w:rsidRDefault="00147AE8" w:rsidP="000216F3">
      <w:pPr>
        <w:pStyle w:val="Testonotaapidipagina"/>
        <w:spacing w:after="20"/>
        <w:jc w:val="both"/>
        <w:rPr>
          <w:rFonts w:ascii="Bookman Old Style" w:hAnsi="Bookman Old Style"/>
          <w:sz w:val="18"/>
          <w:szCs w:val="18"/>
        </w:rPr>
      </w:pPr>
      <w:r w:rsidRPr="00381976">
        <w:rPr>
          <w:rStyle w:val="Rimandonotaapidipagina"/>
          <w:rFonts w:ascii="Bookman Old Style" w:hAnsi="Bookman Old Style"/>
          <w:sz w:val="16"/>
          <w:szCs w:val="16"/>
        </w:rPr>
        <w:footnoteRef/>
      </w:r>
      <w:r w:rsidRPr="00381976">
        <w:rPr>
          <w:rFonts w:ascii="Bookman Old Style" w:hAnsi="Bookman Old Style"/>
          <w:sz w:val="16"/>
          <w:szCs w:val="16"/>
        </w:rPr>
        <w:t xml:space="preserve"> </w:t>
      </w:r>
      <w:r w:rsidRPr="00381976">
        <w:rPr>
          <w:rFonts w:ascii="Bookman Old Style" w:hAnsi="Bookman Old Style"/>
          <w:sz w:val="18"/>
          <w:szCs w:val="18"/>
        </w:rPr>
        <w:t>Per quanto disposto dall’art. 19, d.lgs. 546/1992.</w:t>
      </w:r>
    </w:p>
  </w:footnote>
  <w:footnote w:id="21">
    <w:p w14:paraId="6538E6DF" w14:textId="77777777" w:rsidR="00147AE8" w:rsidRPr="00381976" w:rsidRDefault="00147AE8" w:rsidP="000216F3">
      <w:pPr>
        <w:pStyle w:val="Testonotaapidipagina"/>
        <w:spacing w:after="20"/>
        <w:jc w:val="both"/>
        <w:rPr>
          <w:rFonts w:ascii="Bookman Old Style" w:hAnsi="Bookman Old Style"/>
          <w:sz w:val="18"/>
          <w:szCs w:val="18"/>
        </w:rPr>
      </w:pPr>
      <w:r w:rsidRPr="00381976">
        <w:rPr>
          <w:rStyle w:val="Rimandonotaapidipagina"/>
          <w:rFonts w:ascii="Bookman Old Style" w:hAnsi="Bookman Old Style"/>
          <w:sz w:val="16"/>
          <w:szCs w:val="16"/>
        </w:rPr>
        <w:footnoteRef/>
      </w:r>
      <w:r w:rsidRPr="00381976">
        <w:rPr>
          <w:rFonts w:ascii="Bookman Old Style" w:hAnsi="Bookman Old Style"/>
          <w:sz w:val="16"/>
          <w:szCs w:val="16"/>
        </w:rPr>
        <w:t xml:space="preserve"> </w:t>
      </w:r>
      <w:r w:rsidRPr="00381976">
        <w:rPr>
          <w:rFonts w:ascii="Bookman Old Style" w:hAnsi="Bookman Old Style"/>
          <w:sz w:val="18"/>
          <w:szCs w:val="18"/>
        </w:rPr>
        <w:t>Ai sensi dell’art. 1, comma 167, legge 296/2006.</w:t>
      </w:r>
    </w:p>
  </w:footnote>
  <w:footnote w:id="22">
    <w:p w14:paraId="52FDF35E" w14:textId="77777777" w:rsidR="00147AE8" w:rsidRPr="00381976" w:rsidRDefault="00147AE8" w:rsidP="000216F3">
      <w:pPr>
        <w:pStyle w:val="Testonotaapidipagina"/>
        <w:spacing w:after="20"/>
        <w:jc w:val="both"/>
        <w:rPr>
          <w:rFonts w:ascii="Bookman Old Style" w:hAnsi="Bookman Old Style"/>
          <w:sz w:val="18"/>
          <w:szCs w:val="18"/>
        </w:rPr>
      </w:pPr>
      <w:r w:rsidRPr="00381976">
        <w:rPr>
          <w:rStyle w:val="Rimandonotaapidipagina"/>
          <w:rFonts w:ascii="Bookman Old Style" w:hAnsi="Bookman Old Style"/>
          <w:sz w:val="16"/>
          <w:szCs w:val="16"/>
        </w:rPr>
        <w:footnoteRef/>
      </w:r>
      <w:r w:rsidRPr="00381976">
        <w:rPr>
          <w:rFonts w:ascii="Bookman Old Style" w:hAnsi="Bookman Old Style"/>
          <w:sz w:val="16"/>
          <w:szCs w:val="16"/>
        </w:rPr>
        <w:t xml:space="preserve"> </w:t>
      </w:r>
      <w:r w:rsidRPr="00381976">
        <w:rPr>
          <w:rFonts w:ascii="Bookman Old Style" w:hAnsi="Bookman Old Style"/>
          <w:sz w:val="18"/>
          <w:szCs w:val="18"/>
        </w:rPr>
        <w:t>La risposta scritta del Comune equivale, infatti, ad un provvedimento di rimborso che è atto autonomamente impugnabile innanzi la Corte di giustizia tributaria competente. La necessità di provvedere con notifica, e non con un semplice invio, permette la verifica del rispetto dei termini processuali di impugnazione.</w:t>
      </w:r>
    </w:p>
  </w:footnote>
  <w:footnote w:id="23">
    <w:p w14:paraId="736E4EBD" w14:textId="77777777" w:rsidR="00147AE8" w:rsidRPr="00566ACE" w:rsidRDefault="00147AE8" w:rsidP="000216F3">
      <w:pPr>
        <w:pStyle w:val="Testonotaapidipagina"/>
        <w:spacing w:after="20"/>
        <w:jc w:val="both"/>
        <w:rPr>
          <w:rFonts w:ascii="Bookman Old Style" w:hAnsi="Bookman Old Style"/>
          <w:sz w:val="18"/>
          <w:szCs w:val="18"/>
        </w:rPr>
      </w:pPr>
      <w:r w:rsidRPr="00566ACE">
        <w:rPr>
          <w:rStyle w:val="Rimandonotaapidipagina"/>
          <w:rFonts w:ascii="Bookman Old Style" w:hAnsi="Bookman Old Style"/>
          <w:sz w:val="16"/>
          <w:szCs w:val="16"/>
        </w:rPr>
        <w:footnoteRef/>
      </w:r>
      <w:r w:rsidRPr="00566ACE">
        <w:rPr>
          <w:rFonts w:ascii="Bookman Old Style" w:hAnsi="Bookman Old Style"/>
          <w:sz w:val="16"/>
          <w:szCs w:val="16"/>
        </w:rPr>
        <w:t xml:space="preserve"> </w:t>
      </w:r>
      <w:r w:rsidRPr="00566ACE">
        <w:rPr>
          <w:rFonts w:ascii="Bookman Old Style" w:hAnsi="Bookman Old Style"/>
          <w:sz w:val="18"/>
          <w:szCs w:val="18"/>
        </w:rPr>
        <w:t xml:space="preserve">Il pagamento tramite F/24 rappresenta una modalità di pagamento gratuita, così come previsto dall’art. </w:t>
      </w:r>
      <w:r w:rsidRPr="00566ACE">
        <w:rPr>
          <w:rFonts w:ascii="Bookman Old Style" w:hAnsi="Bookman Old Style"/>
          <w:sz w:val="16"/>
          <w:szCs w:val="16"/>
        </w:rPr>
        <w:t>25</w:t>
      </w:r>
      <w:r w:rsidRPr="00566ACE">
        <w:rPr>
          <w:rFonts w:ascii="Bookman Old Style" w:hAnsi="Bookman Old Style"/>
          <w:sz w:val="18"/>
          <w:szCs w:val="18"/>
        </w:rPr>
        <w:t xml:space="preserve"> TQRIF.</w:t>
      </w:r>
    </w:p>
  </w:footnote>
  <w:footnote w:id="24">
    <w:p w14:paraId="69CF9095" w14:textId="77777777" w:rsidR="00147AE8" w:rsidRPr="00566ACE" w:rsidRDefault="00147AE8" w:rsidP="000216F3">
      <w:pPr>
        <w:pStyle w:val="Testonotaapidipagina"/>
        <w:spacing w:after="20"/>
        <w:jc w:val="both"/>
        <w:rPr>
          <w:rFonts w:ascii="Bookman Old Style" w:hAnsi="Bookman Old Style"/>
          <w:sz w:val="18"/>
          <w:szCs w:val="18"/>
        </w:rPr>
      </w:pPr>
      <w:r w:rsidRPr="00566ACE">
        <w:rPr>
          <w:rStyle w:val="Rimandonotaapidipagina"/>
          <w:rFonts w:ascii="Bookman Old Style" w:hAnsi="Bookman Old Style"/>
          <w:sz w:val="16"/>
          <w:szCs w:val="16"/>
        </w:rPr>
        <w:footnoteRef/>
      </w:r>
      <w:r w:rsidRPr="00566ACE">
        <w:rPr>
          <w:rFonts w:ascii="Bookman Old Style" w:hAnsi="Bookman Old Style"/>
          <w:sz w:val="18"/>
          <w:szCs w:val="18"/>
        </w:rPr>
        <w:t xml:space="preserve"> Per quanto disposto dall’art. 1, comma 688, legge 147/2013.</w:t>
      </w:r>
    </w:p>
  </w:footnote>
  <w:footnote w:id="25">
    <w:p w14:paraId="5AEAA1EF" w14:textId="77777777" w:rsidR="00147AE8" w:rsidRPr="00566ACE" w:rsidRDefault="00147AE8" w:rsidP="000216F3">
      <w:pPr>
        <w:pStyle w:val="Testonotaapidipagina"/>
        <w:spacing w:after="20"/>
        <w:jc w:val="both"/>
        <w:rPr>
          <w:rFonts w:ascii="Bookman Old Style" w:hAnsi="Bookman Old Style"/>
          <w:sz w:val="18"/>
          <w:szCs w:val="18"/>
        </w:rPr>
      </w:pPr>
      <w:r w:rsidRPr="00566ACE">
        <w:rPr>
          <w:rStyle w:val="Rimandonotaapidipagina"/>
          <w:rFonts w:ascii="Bookman Old Style" w:hAnsi="Bookman Old Style"/>
          <w:sz w:val="16"/>
          <w:szCs w:val="16"/>
        </w:rPr>
        <w:footnoteRef/>
      </w:r>
      <w:r w:rsidRPr="00566ACE">
        <w:rPr>
          <w:rFonts w:ascii="Bookman Old Style" w:hAnsi="Bookman Old Style"/>
          <w:sz w:val="18"/>
          <w:szCs w:val="18"/>
        </w:rPr>
        <w:t xml:space="preserve"> Invero, l’art. 25 del TQRIF prevede anche il pagamento tramite assegno bancario, ma tale modalità di pagamento non è accettata dal Comune in quanto non v’è certezza sulla copertura dell’importo. L’art. 25, al comma 2, prevede varie modalità di pagamento che si ritengono vincolanti solo in caso di applicazione della tariffa corrispettiva, e facoltative in caso di applicazione della TARI.</w:t>
      </w:r>
    </w:p>
  </w:footnote>
  <w:footnote w:id="26">
    <w:p w14:paraId="765326B0" w14:textId="77777777" w:rsidR="00147AE8" w:rsidRPr="00566ACE" w:rsidRDefault="00147AE8" w:rsidP="000216F3">
      <w:pPr>
        <w:pStyle w:val="Testonotaapidipagina"/>
        <w:spacing w:after="20"/>
        <w:jc w:val="both"/>
        <w:rPr>
          <w:rFonts w:ascii="Bookman Old Style" w:hAnsi="Bookman Old Style"/>
          <w:sz w:val="18"/>
          <w:szCs w:val="18"/>
        </w:rPr>
      </w:pPr>
      <w:r w:rsidRPr="00566ACE">
        <w:rPr>
          <w:rStyle w:val="Rimandonotaapidipagina"/>
          <w:rFonts w:ascii="Bookman Old Style" w:hAnsi="Bookman Old Style"/>
          <w:sz w:val="16"/>
          <w:szCs w:val="16"/>
        </w:rPr>
        <w:footnoteRef/>
      </w:r>
      <w:r w:rsidRPr="00566ACE">
        <w:rPr>
          <w:rFonts w:ascii="Bookman Old Style" w:hAnsi="Bookman Old Style"/>
          <w:sz w:val="18"/>
          <w:szCs w:val="18"/>
        </w:rPr>
        <w:t xml:space="preserve"> L’art. 1, comma 688, legge 147/2013 prevede che il Comune stabilisce le scadenze di pagamento della TARI, prevedendo di norma almeno due rate a scadenza semestrale.</w:t>
      </w:r>
    </w:p>
  </w:footnote>
  <w:footnote w:id="27">
    <w:p w14:paraId="6F00181C" w14:textId="77777777" w:rsidR="00147AE8" w:rsidRPr="00A01275" w:rsidRDefault="00147AE8" w:rsidP="000216F3">
      <w:pPr>
        <w:pStyle w:val="Testonotaapidipagina"/>
        <w:spacing w:after="20"/>
        <w:jc w:val="both"/>
        <w:rPr>
          <w:rFonts w:ascii="Bookman Old Style" w:hAnsi="Bookman Old Style"/>
        </w:rPr>
      </w:pPr>
      <w:r w:rsidRPr="00566ACE">
        <w:rPr>
          <w:rStyle w:val="Rimandonotaapidipagina"/>
          <w:rFonts w:ascii="Bookman Old Style" w:hAnsi="Bookman Old Style"/>
          <w:sz w:val="16"/>
          <w:szCs w:val="16"/>
        </w:rPr>
        <w:footnoteRef/>
      </w:r>
      <w:r w:rsidRPr="00A01275">
        <w:rPr>
          <w:rFonts w:ascii="Bookman Old Style" w:hAnsi="Bookman Old Style"/>
        </w:rPr>
        <w:t xml:space="preserve"> Le scadenze di pagamento possono essere predeterminate nel regolamento comunale, oppure possono essere fissate annualmente con la delibera di approvazione delle tariffe.</w:t>
      </w:r>
    </w:p>
  </w:footnote>
  <w:footnote w:id="28">
    <w:p w14:paraId="71A9D2D8" w14:textId="77777777" w:rsidR="00147AE8" w:rsidRPr="009543FA" w:rsidRDefault="00147AE8" w:rsidP="000216F3">
      <w:pPr>
        <w:pStyle w:val="Testonotaapidipagina"/>
        <w:spacing w:after="20"/>
        <w:jc w:val="both"/>
        <w:rPr>
          <w:rFonts w:ascii="Bookman Old Style" w:hAnsi="Bookman Old Style"/>
          <w:sz w:val="18"/>
          <w:szCs w:val="18"/>
        </w:rPr>
      </w:pPr>
      <w:r w:rsidRPr="005327D4">
        <w:rPr>
          <w:rStyle w:val="Rimandonotaapidipagina"/>
          <w:rFonts w:ascii="Bookman Old Style" w:hAnsi="Bookman Old Style"/>
          <w:sz w:val="16"/>
          <w:szCs w:val="16"/>
        </w:rPr>
        <w:footnoteRef/>
      </w:r>
      <w:r w:rsidRPr="009543FA">
        <w:rPr>
          <w:rFonts w:ascii="Bookman Old Style" w:hAnsi="Bookman Old Style"/>
          <w:sz w:val="18"/>
          <w:szCs w:val="18"/>
        </w:rPr>
        <w:t xml:space="preserve"> L’art. 13, comma 15- ter, dl 201/2011 dispone quanto segue: «</w:t>
      </w:r>
      <w:r w:rsidRPr="009543FA">
        <w:rPr>
          <w:rFonts w:ascii="Bookman Old Style" w:hAnsi="Bookman Old Style"/>
          <w:i/>
          <w:iCs/>
          <w:sz w:val="18"/>
          <w:szCs w:val="18"/>
        </w:rPr>
        <w:t>I versamenti dei tributi diversi dall'imposta di soggiorno, dall'addizionale comunale all'IRPEF, dall'IMU e dalla TASI la cui scadenza è fissata dal comune prima del 1° dicembre di ciascun anno devono essere effettuati sulla base degli atti applicabili per l'anno precedente. I versamenti dei medesimi tributi la cui scadenza è fissata dal comune in data successiva al 1° dicembre di ciascun anno devono essere effettuati sulla base degli atti pubblicati entro il 28 ottobre, a saldo dell'imposta dovuta per l'intero anno, con eventuale conguaglio su quanto già versato</w:t>
      </w:r>
      <w:r w:rsidRPr="009543FA">
        <w:rPr>
          <w:rFonts w:ascii="Bookman Old Style" w:hAnsi="Bookman Old Style"/>
          <w:sz w:val="18"/>
          <w:szCs w:val="18"/>
        </w:rPr>
        <w:t>».</w:t>
      </w:r>
    </w:p>
  </w:footnote>
  <w:footnote w:id="29">
    <w:p w14:paraId="1B0A9F3C" w14:textId="3DCE8A31" w:rsidR="00147AE8" w:rsidRPr="009543FA" w:rsidRDefault="00147AE8" w:rsidP="000216F3">
      <w:pPr>
        <w:pStyle w:val="Testonotaapidipagina"/>
        <w:spacing w:after="20"/>
        <w:jc w:val="both"/>
        <w:rPr>
          <w:rFonts w:ascii="Bookman Old Style" w:hAnsi="Bookman Old Style"/>
          <w:sz w:val="18"/>
          <w:szCs w:val="18"/>
        </w:rPr>
      </w:pPr>
      <w:r w:rsidRPr="005327D4">
        <w:rPr>
          <w:rStyle w:val="Rimandonotaapidipagina"/>
          <w:rFonts w:ascii="Bookman Old Style" w:hAnsi="Bookman Old Style"/>
          <w:sz w:val="16"/>
          <w:szCs w:val="16"/>
        </w:rPr>
        <w:footnoteRef/>
      </w:r>
      <w:r w:rsidRPr="009543FA">
        <w:rPr>
          <w:rFonts w:ascii="Bookman Old Style" w:hAnsi="Bookman Old Style"/>
          <w:sz w:val="18"/>
          <w:szCs w:val="18"/>
        </w:rPr>
        <w:t xml:space="preserve"> Si ricorda che la TARI è un tributo in autoliquidazione e che l’invio d</w:t>
      </w:r>
      <w:r w:rsidR="00F31EE5" w:rsidRPr="009543FA">
        <w:rPr>
          <w:rFonts w:ascii="Bookman Old Style" w:hAnsi="Bookman Old Style"/>
          <w:sz w:val="18"/>
          <w:szCs w:val="18"/>
        </w:rPr>
        <w:t xml:space="preserve">ell’avviso </w:t>
      </w:r>
      <w:r w:rsidRPr="009543FA">
        <w:rPr>
          <w:rFonts w:ascii="Bookman Old Style" w:hAnsi="Bookman Old Style"/>
          <w:sz w:val="18"/>
          <w:szCs w:val="18"/>
        </w:rPr>
        <w:t>di pagamento non è previsto dalla normativa primaria, ma è un avviso di cortesia disciplinato dal regolamento comunale.</w:t>
      </w:r>
    </w:p>
  </w:footnote>
  <w:footnote w:id="30">
    <w:p w14:paraId="018B7088" w14:textId="77777777" w:rsidR="00147AE8" w:rsidRPr="009543FA" w:rsidRDefault="00147AE8" w:rsidP="000216F3">
      <w:pPr>
        <w:pStyle w:val="Testonotaapidipagina"/>
        <w:spacing w:after="20"/>
        <w:jc w:val="both"/>
        <w:rPr>
          <w:rFonts w:ascii="Bookman Old Style" w:hAnsi="Bookman Old Style"/>
          <w:sz w:val="18"/>
          <w:szCs w:val="18"/>
        </w:rPr>
      </w:pPr>
      <w:r w:rsidRPr="005327D4">
        <w:rPr>
          <w:rStyle w:val="Rimandonotaapidipagina"/>
          <w:rFonts w:ascii="Bookman Old Style" w:hAnsi="Bookman Old Style"/>
          <w:sz w:val="16"/>
          <w:szCs w:val="16"/>
        </w:rPr>
        <w:footnoteRef/>
      </w:r>
      <w:r w:rsidRPr="009543FA">
        <w:rPr>
          <w:rFonts w:ascii="Bookman Old Style" w:hAnsi="Bookman Old Style"/>
          <w:sz w:val="18"/>
          <w:szCs w:val="18"/>
        </w:rPr>
        <w:t xml:space="preserve"> L’art. 24 del TQRIF prevede che qualora il Comune preveda una modalità di pagamento onerosa per il contribuente, come ad esempio PagoPA, non può essere addebitato al contribuente un onere superiore a quello sostenuto dal Comune stesso. Si ritiene che il Comune non sia tenuto a regolamentare tale addebito, in quanto i costi sostenuti dall’ente trovano comunque copertura nel PEF tramite il CARC.</w:t>
      </w:r>
    </w:p>
  </w:footnote>
  <w:footnote w:id="31">
    <w:p w14:paraId="5D68B991" w14:textId="77777777" w:rsidR="00147AE8" w:rsidRPr="009543FA" w:rsidRDefault="00147AE8" w:rsidP="000216F3">
      <w:pPr>
        <w:pStyle w:val="Testonotaapidipagina"/>
        <w:spacing w:after="20"/>
        <w:jc w:val="both"/>
        <w:rPr>
          <w:rFonts w:ascii="Bookman Old Style" w:hAnsi="Bookman Old Style"/>
          <w:sz w:val="18"/>
          <w:szCs w:val="18"/>
        </w:rPr>
      </w:pPr>
      <w:r w:rsidRPr="005327D4">
        <w:rPr>
          <w:rStyle w:val="Rimandonotaapidipagina"/>
          <w:rFonts w:ascii="Bookman Old Style" w:hAnsi="Bookman Old Style"/>
          <w:sz w:val="16"/>
          <w:szCs w:val="16"/>
        </w:rPr>
        <w:footnoteRef/>
      </w:r>
      <w:r w:rsidRPr="009543FA">
        <w:rPr>
          <w:rFonts w:ascii="Bookman Old Style" w:hAnsi="Bookman Old Style"/>
          <w:sz w:val="18"/>
          <w:szCs w:val="18"/>
        </w:rPr>
        <w:t xml:space="preserve"> Per quanto disposto dall’art. 1, comma 168, legge 296/2006.</w:t>
      </w:r>
    </w:p>
  </w:footnote>
  <w:footnote w:id="32">
    <w:p w14:paraId="15A3D74E" w14:textId="77777777" w:rsidR="00147AE8" w:rsidRPr="008008E4" w:rsidRDefault="00147AE8" w:rsidP="000216F3">
      <w:pPr>
        <w:pStyle w:val="Testonotaapidipagina"/>
        <w:spacing w:after="20"/>
        <w:jc w:val="both"/>
        <w:rPr>
          <w:rFonts w:ascii="Bookman Old Style" w:hAnsi="Bookman Old Style"/>
          <w:sz w:val="18"/>
          <w:szCs w:val="18"/>
        </w:rPr>
      </w:pPr>
      <w:r w:rsidRPr="005327D4">
        <w:rPr>
          <w:rStyle w:val="Rimandonotaapidipagina"/>
          <w:rFonts w:ascii="Bookman Old Style" w:hAnsi="Bookman Old Style"/>
          <w:sz w:val="16"/>
          <w:szCs w:val="16"/>
        </w:rPr>
        <w:footnoteRef/>
      </w:r>
      <w:r w:rsidRPr="005327D4">
        <w:rPr>
          <w:rFonts w:ascii="Bookman Old Style" w:hAnsi="Bookman Old Style"/>
          <w:sz w:val="18"/>
          <w:szCs w:val="18"/>
        </w:rPr>
        <w:t xml:space="preserve"> L’invio del sollecito di pagamento non è contemplato direttamente dalla normativa. Si tratta di possibilità inizialmente prevista nel prototipo di “Regolamento per l’istituzione e l'applicazione del tributo comunale sui rifiuti e sui servizi (TARES)” predisposto dal Dipartimento delle finanze. Invero, va precisato che la notifica di un sollecito senza applicazione di sanzione, non essendo prevista nella normativa primaria è legittima nella misura in cui tale atto sia stato previsto nel regolamento comunale. La possibilità per il Comune di intervenire in tema di sanzioni - ovviamente sempre in </w:t>
      </w:r>
      <w:r w:rsidRPr="005327D4">
        <w:rPr>
          <w:rFonts w:ascii="Bookman Old Style" w:hAnsi="Bookman Old Style"/>
          <w:i/>
          <w:iCs/>
          <w:sz w:val="18"/>
          <w:szCs w:val="18"/>
        </w:rPr>
        <w:t>melius</w:t>
      </w:r>
      <w:r w:rsidRPr="005327D4">
        <w:rPr>
          <w:rFonts w:ascii="Bookman Old Style" w:hAnsi="Bookman Old Style"/>
          <w:sz w:val="18"/>
          <w:szCs w:val="18"/>
        </w:rPr>
        <w:t xml:space="preserve">, mai in </w:t>
      </w:r>
      <w:r w:rsidRPr="005327D4">
        <w:rPr>
          <w:rFonts w:ascii="Bookman Old Style" w:hAnsi="Bookman Old Style"/>
          <w:i/>
          <w:iCs/>
          <w:sz w:val="18"/>
          <w:szCs w:val="18"/>
        </w:rPr>
        <w:t>peius</w:t>
      </w:r>
      <w:r w:rsidRPr="005327D4">
        <w:rPr>
          <w:rFonts w:ascii="Bookman Old Style" w:hAnsi="Bookman Old Style"/>
          <w:sz w:val="18"/>
          <w:szCs w:val="18"/>
        </w:rPr>
        <w:t xml:space="preserve"> – trova il suo fondamento giuridico nell’art. </w:t>
      </w:r>
      <w:r w:rsidRPr="008008E4">
        <w:rPr>
          <w:rFonts w:ascii="Bookman Old Style" w:hAnsi="Bookman Old Style"/>
          <w:sz w:val="18"/>
          <w:szCs w:val="18"/>
        </w:rPr>
        <w:t>50, della legge 449/1997, con la quale è stata attribuita ai Comuni la facoltà, da esercitarsi mediante la potestà regolamentare prevista in materia di disciplina delle entrate locali, di prevedere riduzioni delle sanzioni, anche al fine di incentivare gli adempimenti tardivi.</w:t>
      </w:r>
    </w:p>
    <w:p w14:paraId="4987924B" w14:textId="77777777" w:rsidR="00147AE8" w:rsidRPr="008008E4" w:rsidRDefault="00147AE8" w:rsidP="001A26C4">
      <w:pPr>
        <w:pStyle w:val="Testonotaapidipagina"/>
        <w:jc w:val="both"/>
        <w:rPr>
          <w:rFonts w:ascii="Bookman Old Style" w:hAnsi="Bookman Old Style"/>
          <w:sz w:val="18"/>
          <w:szCs w:val="18"/>
        </w:rPr>
      </w:pPr>
      <w:r w:rsidRPr="008008E4">
        <w:rPr>
          <w:rFonts w:ascii="Bookman Old Style" w:hAnsi="Bookman Old Style"/>
          <w:sz w:val="18"/>
          <w:szCs w:val="18"/>
        </w:rPr>
        <w:t>Pertanto, la notifica di un sollecito di pagamento TARI è intanto legittima se è stata specificamente prevista nel regolamento comunale.</w:t>
      </w:r>
    </w:p>
    <w:p w14:paraId="7391A916" w14:textId="5BCEF847" w:rsidR="002C1A02" w:rsidRPr="008008E4" w:rsidRDefault="005B1241" w:rsidP="002C1A02">
      <w:pPr>
        <w:pStyle w:val="Testonotaapidipagina"/>
        <w:jc w:val="both"/>
        <w:rPr>
          <w:rFonts w:ascii="Bookman Old Style" w:hAnsi="Bookman Old Style"/>
          <w:sz w:val="18"/>
          <w:szCs w:val="18"/>
        </w:rPr>
      </w:pPr>
      <w:r w:rsidRPr="008008E4">
        <w:rPr>
          <w:rFonts w:ascii="Bookman Old Style" w:hAnsi="Bookman Old Style"/>
          <w:sz w:val="18"/>
          <w:szCs w:val="18"/>
        </w:rPr>
        <w:t xml:space="preserve">Inoltre, </w:t>
      </w:r>
      <w:r w:rsidR="002C1A02" w:rsidRPr="008008E4">
        <w:rPr>
          <w:rFonts w:ascii="Bookman Old Style" w:hAnsi="Bookman Old Style"/>
          <w:sz w:val="18"/>
          <w:szCs w:val="18"/>
        </w:rPr>
        <w:t>va considerata legittima la prassi</w:t>
      </w:r>
      <w:r w:rsidR="00295B21" w:rsidRPr="008008E4">
        <w:rPr>
          <w:rFonts w:ascii="Bookman Old Style" w:hAnsi="Bookman Old Style"/>
          <w:sz w:val="18"/>
          <w:szCs w:val="18"/>
        </w:rPr>
        <w:t>,</w:t>
      </w:r>
      <w:r w:rsidR="002C1A02" w:rsidRPr="008008E4">
        <w:rPr>
          <w:rFonts w:ascii="Bookman Old Style" w:hAnsi="Bookman Old Style"/>
          <w:sz w:val="18"/>
          <w:szCs w:val="18"/>
        </w:rPr>
        <w:t xml:space="preserve"> seguita ormai da tanti Comuni</w:t>
      </w:r>
      <w:r w:rsidR="00295B21" w:rsidRPr="008008E4">
        <w:rPr>
          <w:rFonts w:ascii="Bookman Old Style" w:hAnsi="Bookman Old Style"/>
          <w:sz w:val="18"/>
          <w:szCs w:val="18"/>
        </w:rPr>
        <w:t>,</w:t>
      </w:r>
      <w:r w:rsidR="00895863" w:rsidRPr="008008E4">
        <w:rPr>
          <w:rFonts w:ascii="Bookman Old Style" w:hAnsi="Bookman Old Style"/>
          <w:sz w:val="18"/>
          <w:szCs w:val="18"/>
        </w:rPr>
        <w:t xml:space="preserve"> </w:t>
      </w:r>
      <w:r w:rsidR="002C1A02" w:rsidRPr="008008E4">
        <w:rPr>
          <w:rFonts w:ascii="Bookman Old Style" w:hAnsi="Bookman Old Style"/>
          <w:sz w:val="18"/>
          <w:szCs w:val="18"/>
        </w:rPr>
        <w:t>di notifica di un unico atto di sollecito ed accertamento, atteso, peraltro, che il contribuente non subisce alcuna penalizzazione, essendo mantenuta la possibilità di corrispondere quanto non versato senza applicazione di sanzioni, purchè ciò avvenga (di norma) nei trenta giorni dalla notifica.</w:t>
      </w:r>
    </w:p>
    <w:p w14:paraId="017468E4" w14:textId="361098EB" w:rsidR="005B1241" w:rsidRPr="008008E4" w:rsidRDefault="002C1A02" w:rsidP="002C1A02">
      <w:pPr>
        <w:pStyle w:val="Testonotaapidipagina"/>
        <w:jc w:val="both"/>
        <w:rPr>
          <w:rFonts w:ascii="Bookman Old Style" w:hAnsi="Bookman Old Style"/>
          <w:sz w:val="18"/>
          <w:szCs w:val="18"/>
        </w:rPr>
      </w:pPr>
      <w:r w:rsidRPr="008008E4">
        <w:rPr>
          <w:rFonts w:ascii="Bookman Old Style" w:hAnsi="Bookman Old Style"/>
          <w:sz w:val="18"/>
          <w:szCs w:val="18"/>
        </w:rPr>
        <w:t>Quanto sostenuto trova conferma anche nella giurisprudenza di legittimità, che ha validato l’emissione di un unico atto con riferimento a più annualità. In particolare, Cassazione n. 15639/2004, proprio in tema di TARSU, ha puntualizzato quanto segue: «</w:t>
      </w:r>
      <w:r w:rsidRPr="008008E4">
        <w:rPr>
          <w:rFonts w:ascii="Bookman Old Style" w:hAnsi="Bookman Old Style"/>
          <w:i/>
          <w:sz w:val="18"/>
          <w:szCs w:val="18"/>
        </w:rPr>
        <w:t>in definitiva deve affermarsi il principio - già dichiarato da questa Corte in relazione ad altri tributi: Cass., 1^, 6 dicembre 1985 n. 6142, in tema di rettifica della dichiarazione annuale d'imposta sul valore aggiunto ex art. 54  D.P.R. 26 ottobre 1972 n. 633 ; Cass., 1^, 29 giugno 1981 n. 4198, in tema di accertamenti afferenti più annualità dell'imposta di ricchezza mobile; Cass., 1^, 26 luglio 1978 n. 3746, in tema di rettifica degli imponibili dichiarati, a norma dell'art. 31  D.P.R. 29 gennaio 1958 n. 645  (contenente il Testo Unico delle imposte dirette) - secondo cui, in tema di accertamento della TARSU non esiste nessuna norma che vieti all'ente territoriale di comprendere in un unico documento avvisi di accertamento riguardanti più annualità di imposta, sempre che - ma tanto non è contestato nella specie - ciascun accertamento sia effettuato in riferimento alle singole dichiarazioni annuali</w:t>
      </w:r>
      <w:r w:rsidRPr="008008E4">
        <w:rPr>
          <w:rFonts w:ascii="Bookman Old Style" w:hAnsi="Bookman Old Style"/>
          <w:sz w:val="18"/>
          <w:szCs w:val="18"/>
        </w:rPr>
        <w:t>».</w:t>
      </w:r>
    </w:p>
  </w:footnote>
  <w:footnote w:id="33">
    <w:p w14:paraId="707F73D3" w14:textId="497FFB22" w:rsidR="00185B36" w:rsidRPr="00DF4788" w:rsidRDefault="00185B36" w:rsidP="00DF4788">
      <w:pPr>
        <w:pStyle w:val="Testonotaapidipagina"/>
        <w:spacing w:after="20"/>
        <w:rPr>
          <w:rFonts w:ascii="Bookman Old Style" w:hAnsi="Bookman Old Style"/>
          <w:sz w:val="18"/>
          <w:szCs w:val="18"/>
        </w:rPr>
      </w:pPr>
      <w:r w:rsidRPr="00DF4788">
        <w:rPr>
          <w:rStyle w:val="Rimandonotaapidipagina"/>
          <w:rFonts w:ascii="Bookman Old Style" w:hAnsi="Bookman Old Style"/>
          <w:sz w:val="16"/>
          <w:szCs w:val="16"/>
        </w:rPr>
        <w:footnoteRef/>
      </w:r>
      <w:r w:rsidRPr="00DF4788">
        <w:rPr>
          <w:rFonts w:ascii="Bookman Old Style" w:hAnsi="Bookman Old Style"/>
          <w:sz w:val="18"/>
          <w:szCs w:val="18"/>
        </w:rPr>
        <w:t xml:space="preserve"> Art. 1, comma 165, legge 147/2013.</w:t>
      </w:r>
    </w:p>
  </w:footnote>
  <w:footnote w:id="34">
    <w:p w14:paraId="7104219B" w14:textId="77777777" w:rsidR="00147AE8" w:rsidRPr="00DF4788" w:rsidRDefault="00147AE8" w:rsidP="00DF4788">
      <w:pPr>
        <w:pStyle w:val="Testonotaapidipagina"/>
        <w:spacing w:after="20"/>
        <w:jc w:val="both"/>
        <w:rPr>
          <w:rFonts w:ascii="Bookman Old Style" w:hAnsi="Bookman Old Style"/>
          <w:sz w:val="18"/>
          <w:szCs w:val="18"/>
        </w:rPr>
      </w:pPr>
      <w:r w:rsidRPr="00DF4788">
        <w:rPr>
          <w:rStyle w:val="Rimandonotaapidipagina"/>
          <w:rFonts w:ascii="Bookman Old Style" w:hAnsi="Bookman Old Style"/>
          <w:sz w:val="16"/>
          <w:szCs w:val="16"/>
        </w:rPr>
        <w:footnoteRef/>
      </w:r>
      <w:r w:rsidRPr="00DF4788">
        <w:rPr>
          <w:rFonts w:ascii="Bookman Old Style" w:hAnsi="Bookman Old Style"/>
          <w:sz w:val="18"/>
          <w:szCs w:val="18"/>
        </w:rPr>
        <w:t xml:space="preserve"> L’art. 27, comma 1, lett. b), attribuisce all’Ente territorialmente competente l’individuazione dei criteri che attestino l’esistenza di una condizione economica disagiate. La previsione può essere attuata quando l’Ente territorialmente competente coincide con il Comune. Diversamente, in presenza di Ente territorialmente competente diverso dal Comune non pare possibile che un soggetto terzo intervenga nella modalità di gestione di un tributo comunale, se non attraverso una palese violazione dell’autonomia impositiva comunale, anche in considerazione che tale ambito influisce direttamente sul bilancio comunale.</w:t>
      </w:r>
    </w:p>
  </w:footnote>
  <w:footnote w:id="35">
    <w:p w14:paraId="25D5F806" w14:textId="3B1A07D4" w:rsidR="00A75FB2" w:rsidRPr="00DF4788" w:rsidRDefault="00A75FB2" w:rsidP="00DF4788">
      <w:pPr>
        <w:pStyle w:val="Testonotaapidipagina"/>
        <w:spacing w:after="20"/>
        <w:jc w:val="both"/>
        <w:rPr>
          <w:rFonts w:ascii="Bookman Old Style" w:hAnsi="Bookman Old Style"/>
          <w:sz w:val="18"/>
          <w:szCs w:val="18"/>
        </w:rPr>
      </w:pPr>
      <w:r w:rsidRPr="00DF4788">
        <w:rPr>
          <w:rStyle w:val="Rimandonotaapidipagina"/>
          <w:rFonts w:ascii="Bookman Old Style" w:hAnsi="Bookman Old Style"/>
          <w:sz w:val="16"/>
          <w:szCs w:val="16"/>
        </w:rPr>
        <w:footnoteRef/>
      </w:r>
      <w:r w:rsidRPr="00DF4788">
        <w:rPr>
          <w:rFonts w:ascii="Bookman Old Style" w:hAnsi="Bookman Old Style"/>
          <w:sz w:val="18"/>
          <w:szCs w:val="18"/>
        </w:rPr>
        <w:t xml:space="preserve"> Invero, l’art. 27, comma 4 del TQRIF prevede la richiesta deve essere presentata “entro la scadenza del termine di pagamento”, ma così operando non esiste il tempo materiale per la predisposizione dell’ulteriore piano di rateizzazione.</w:t>
      </w:r>
    </w:p>
  </w:footnote>
  <w:footnote w:id="36">
    <w:p w14:paraId="6FB0487A" w14:textId="7DDE5DAA" w:rsidR="00A75FB2" w:rsidRPr="00DF4788" w:rsidRDefault="00A75FB2" w:rsidP="00DF4788">
      <w:pPr>
        <w:pStyle w:val="Testonotaapidipagina"/>
        <w:spacing w:after="20"/>
        <w:rPr>
          <w:rFonts w:ascii="Bookman Old Style" w:hAnsi="Bookman Old Style"/>
          <w:sz w:val="18"/>
          <w:szCs w:val="18"/>
        </w:rPr>
      </w:pPr>
      <w:r w:rsidRPr="00DF4788">
        <w:rPr>
          <w:rStyle w:val="Rimandonotaapidipagina"/>
          <w:rFonts w:ascii="Bookman Old Style" w:hAnsi="Bookman Old Style"/>
          <w:sz w:val="16"/>
          <w:szCs w:val="16"/>
        </w:rPr>
        <w:footnoteRef/>
      </w:r>
      <w:r w:rsidRPr="00DF4788">
        <w:rPr>
          <w:rFonts w:ascii="Bookman Old Style" w:hAnsi="Bookman Old Style"/>
          <w:sz w:val="18"/>
          <w:szCs w:val="18"/>
        </w:rPr>
        <w:t xml:space="preserve"> Al fine di evitare che il debito residuo si sommi al nuovo debito tributario.</w:t>
      </w:r>
    </w:p>
  </w:footnote>
  <w:footnote w:id="37">
    <w:p w14:paraId="5BACC663" w14:textId="3B3BDE55" w:rsidR="00EA5A59" w:rsidRPr="00E617C3" w:rsidRDefault="00EA5A59" w:rsidP="00EA5A59">
      <w:pPr>
        <w:pStyle w:val="Testonotaapidipagina"/>
        <w:jc w:val="both"/>
        <w:rPr>
          <w:sz w:val="18"/>
          <w:szCs w:val="18"/>
        </w:rPr>
      </w:pPr>
      <w:r w:rsidRPr="00E617C3">
        <w:rPr>
          <w:rStyle w:val="Rimandonotaapidipagina"/>
          <w:sz w:val="16"/>
          <w:szCs w:val="16"/>
        </w:rPr>
        <w:footnoteRef/>
      </w:r>
      <w:r w:rsidRPr="00E617C3">
        <w:rPr>
          <w:sz w:val="16"/>
          <w:szCs w:val="16"/>
        </w:rPr>
        <w:t xml:space="preserve"> </w:t>
      </w:r>
      <w:r w:rsidRPr="00E617C3">
        <w:rPr>
          <w:rFonts w:ascii="Bookman Old Style" w:hAnsi="Bookman Old Style"/>
          <w:sz w:val="18"/>
          <w:szCs w:val="18"/>
        </w:rPr>
        <w:t>Invero, l’art. 27, comma 6 del TQRIF prevede che non siano applicabili interessi di mora in caso di ritardi imputabili al Comune, ma si ritiene che il Comune non possa ritenersi legittimato alla disapplicazione degli interessi sulla base della delibera ARERA, essendo gli interessi, come le sanzioni, un accessorio del tributo, e quindi per definizione entrata non disponibile. Allo stesso risultato, però, si perviene considerando l’art. 10, comma 2, dello Statuto dei diritti del contribuente.</w:t>
      </w:r>
    </w:p>
  </w:footnote>
  <w:footnote w:id="38">
    <w:p w14:paraId="45478DF4" w14:textId="40D0F926" w:rsidR="007C754F" w:rsidRPr="00A37E97" w:rsidRDefault="007C754F" w:rsidP="00A37E97">
      <w:pPr>
        <w:pStyle w:val="Testonotaapidipagina"/>
        <w:spacing w:after="20"/>
        <w:jc w:val="both"/>
        <w:rPr>
          <w:rFonts w:ascii="Bookman Old Style" w:hAnsi="Bookman Old Style"/>
          <w:sz w:val="18"/>
          <w:szCs w:val="18"/>
        </w:rPr>
      </w:pPr>
      <w:r w:rsidRPr="00A37E97">
        <w:rPr>
          <w:rStyle w:val="Rimandonotaapidipagina"/>
          <w:rFonts w:ascii="Bookman Old Style" w:hAnsi="Bookman Old Style"/>
          <w:sz w:val="16"/>
          <w:szCs w:val="16"/>
        </w:rPr>
        <w:footnoteRef/>
      </w:r>
      <w:r w:rsidRPr="00A37E97">
        <w:rPr>
          <w:rFonts w:ascii="Bookman Old Style" w:hAnsi="Bookman Old Style"/>
          <w:sz w:val="18"/>
          <w:szCs w:val="18"/>
        </w:rPr>
        <w:t xml:space="preserve"> L’art. 28, comma 3, del TQRIF prevede il termine di 120 giorni lavorativi, ma tale termine non può considerarsi vincolante in considerazione della previsione di cui all’art. 1, comma 164, legge 296/2006, che fissa il termine, peraltro ordinatario, per effettuare il rimborso entro 180 giorni dalla data di presentazione dell’istanza.</w:t>
      </w:r>
    </w:p>
  </w:footnote>
  <w:footnote w:id="39">
    <w:p w14:paraId="4941B589" w14:textId="55BD8386" w:rsidR="007C754F" w:rsidRPr="00A37E97" w:rsidRDefault="007C754F" w:rsidP="00A37E97">
      <w:pPr>
        <w:pStyle w:val="Testonotaapidipagina"/>
        <w:spacing w:after="20"/>
        <w:jc w:val="both"/>
        <w:rPr>
          <w:rFonts w:ascii="Bookman Old Style" w:hAnsi="Bookman Old Style"/>
          <w:sz w:val="18"/>
          <w:szCs w:val="18"/>
        </w:rPr>
      </w:pPr>
      <w:r w:rsidRPr="00A37E97">
        <w:rPr>
          <w:rStyle w:val="Rimandonotaapidipagina"/>
          <w:rFonts w:ascii="Bookman Old Style" w:hAnsi="Bookman Old Style"/>
          <w:sz w:val="16"/>
          <w:szCs w:val="16"/>
        </w:rPr>
        <w:footnoteRef/>
      </w:r>
      <w:r w:rsidRPr="00A37E97">
        <w:rPr>
          <w:rFonts w:ascii="Bookman Old Style" w:hAnsi="Bookman Old Style"/>
          <w:sz w:val="18"/>
          <w:szCs w:val="18"/>
        </w:rPr>
        <w:t xml:space="preserve"> Si ricorda che il tasso </w:t>
      </w:r>
      <w:r w:rsidR="005C3103" w:rsidRPr="00A37E97">
        <w:rPr>
          <w:rFonts w:ascii="Bookman Old Style" w:hAnsi="Bookman Old Style"/>
          <w:sz w:val="18"/>
          <w:szCs w:val="18"/>
        </w:rPr>
        <w:t>d’</w:t>
      </w:r>
      <w:r w:rsidRPr="00A37E97">
        <w:rPr>
          <w:rFonts w:ascii="Bookman Old Style" w:hAnsi="Bookman Old Style"/>
          <w:sz w:val="18"/>
          <w:szCs w:val="18"/>
        </w:rPr>
        <w:t>interesse da riconoscere nei provvedimenti di rimborso deve essere uguale al tasso di interesse applicato in sede di accertamento, per quanto disposto dall’art. 1, comma 165, legge 206/2006.</w:t>
      </w:r>
    </w:p>
  </w:footnote>
  <w:footnote w:id="40">
    <w:p w14:paraId="772FD10F" w14:textId="77777777" w:rsidR="005C3103" w:rsidRPr="00A37E97" w:rsidRDefault="005C3103" w:rsidP="00A37E97">
      <w:pPr>
        <w:pStyle w:val="Testonotaapidipagina"/>
        <w:spacing w:after="20"/>
        <w:jc w:val="both"/>
        <w:rPr>
          <w:rFonts w:ascii="Bookman Old Style" w:hAnsi="Bookman Old Style"/>
          <w:sz w:val="18"/>
          <w:szCs w:val="18"/>
        </w:rPr>
      </w:pPr>
      <w:r w:rsidRPr="00A37E97">
        <w:rPr>
          <w:rStyle w:val="Rimandonotaapidipagina"/>
          <w:rFonts w:ascii="Bookman Old Style" w:hAnsi="Bookman Old Style"/>
          <w:sz w:val="16"/>
          <w:szCs w:val="16"/>
        </w:rPr>
        <w:footnoteRef/>
      </w:r>
      <w:r w:rsidRPr="00A37E97">
        <w:rPr>
          <w:rFonts w:ascii="Bookman Old Style" w:hAnsi="Bookman Old Style"/>
          <w:sz w:val="18"/>
          <w:szCs w:val="18"/>
        </w:rPr>
        <w:t xml:space="preserve"> L’articolo 23 dispone quanto segue:</w:t>
      </w:r>
    </w:p>
    <w:p w14:paraId="5094B04F" w14:textId="537B24C8" w:rsidR="005C3103" w:rsidRPr="00A37E97" w:rsidRDefault="005C3103" w:rsidP="00A37E97">
      <w:pPr>
        <w:pStyle w:val="Testonotaapidipagina"/>
        <w:spacing w:after="20"/>
        <w:jc w:val="both"/>
        <w:rPr>
          <w:rFonts w:ascii="Bookman Old Style" w:hAnsi="Bookman Old Style"/>
          <w:i/>
          <w:sz w:val="18"/>
          <w:szCs w:val="18"/>
        </w:rPr>
      </w:pPr>
      <w:r w:rsidRPr="00A37E97">
        <w:rPr>
          <w:rFonts w:ascii="Bookman Old Style" w:hAnsi="Bookman Old Style"/>
          <w:sz w:val="18"/>
          <w:szCs w:val="18"/>
        </w:rPr>
        <w:t>«</w:t>
      </w:r>
      <w:r w:rsidRPr="00A37E97">
        <w:rPr>
          <w:rFonts w:ascii="Bookman Old Style" w:hAnsi="Bookman Old Style"/>
          <w:i/>
          <w:sz w:val="18"/>
          <w:szCs w:val="18"/>
        </w:rPr>
        <w:t xml:space="preserve">1. Nei casi in cui l'autore della violazione o i soggetti obbligati in solido, vantano un credito nei confronti dell'amministrazione finanziaria, il pagamento può essere sospeso se è stato notificato atto di contestazione o di irrogazione della sanzione o provvedimento con il quale vengono accertati maggiori tributi, ancorché non definitivi. La sospensione opera nei limiti di tutti gli importi dovuti in base all'atto o alla decisione della commissione tributaria ovvero dalla decisione di altro organo. </w:t>
      </w:r>
    </w:p>
    <w:p w14:paraId="006FD601" w14:textId="3706EB58" w:rsidR="005C3103" w:rsidRPr="00A37E97" w:rsidRDefault="005C3103" w:rsidP="00A37E97">
      <w:pPr>
        <w:pStyle w:val="Testonotaapidipagina"/>
        <w:spacing w:after="20"/>
        <w:jc w:val="both"/>
        <w:rPr>
          <w:rFonts w:ascii="Bookman Old Style" w:hAnsi="Bookman Old Style"/>
          <w:i/>
          <w:sz w:val="18"/>
          <w:szCs w:val="18"/>
        </w:rPr>
      </w:pPr>
      <w:r w:rsidRPr="00A37E97">
        <w:rPr>
          <w:rFonts w:ascii="Bookman Old Style" w:hAnsi="Bookman Old Style"/>
          <w:i/>
          <w:sz w:val="18"/>
          <w:szCs w:val="18"/>
        </w:rPr>
        <w:t>2. In presenza di provvedimento definitivo, l'ufficio competente per il rimborso pronuncia la compensazione del debito.</w:t>
      </w:r>
    </w:p>
    <w:p w14:paraId="06B82A9D" w14:textId="4AFFAE02" w:rsidR="005C3103" w:rsidRPr="00A37E97" w:rsidRDefault="005C3103" w:rsidP="00A37E97">
      <w:pPr>
        <w:pStyle w:val="Testonotaapidipagina"/>
        <w:spacing w:after="20"/>
        <w:jc w:val="both"/>
        <w:rPr>
          <w:sz w:val="18"/>
          <w:szCs w:val="18"/>
        </w:rPr>
      </w:pPr>
      <w:r w:rsidRPr="00A37E97">
        <w:rPr>
          <w:rFonts w:ascii="Bookman Old Style" w:hAnsi="Bookman Old Style"/>
          <w:i/>
          <w:sz w:val="18"/>
          <w:szCs w:val="18"/>
        </w:rPr>
        <w:t>(…)</w:t>
      </w:r>
      <w:r w:rsidRPr="00A37E97">
        <w:rPr>
          <w:rFonts w:ascii="Bookman Old Style" w:hAnsi="Bookman Old Style"/>
          <w:sz w:val="18"/>
          <w:szCs w:val="18"/>
        </w:rPr>
        <w:t>»</w:t>
      </w:r>
    </w:p>
  </w:footnote>
  <w:footnote w:id="41">
    <w:p w14:paraId="13D83A53" w14:textId="33FC7BFF" w:rsidR="005F72A2" w:rsidRPr="00E7410F" w:rsidRDefault="005F72A2">
      <w:pPr>
        <w:pStyle w:val="Testonotaapidipagina"/>
        <w:rPr>
          <w:rFonts w:ascii="Bookman Old Style" w:hAnsi="Bookman Old Style"/>
          <w:sz w:val="18"/>
          <w:szCs w:val="18"/>
        </w:rPr>
      </w:pPr>
      <w:r w:rsidRPr="00E7410F">
        <w:rPr>
          <w:rStyle w:val="Rimandonotaapidipagina"/>
          <w:rFonts w:ascii="Bookman Old Style" w:hAnsi="Bookman Old Style"/>
          <w:sz w:val="16"/>
          <w:szCs w:val="16"/>
        </w:rPr>
        <w:footnoteRef/>
      </w:r>
      <w:r w:rsidRPr="00E7410F">
        <w:rPr>
          <w:rFonts w:ascii="Bookman Old Style" w:hAnsi="Bookman Old Style"/>
          <w:sz w:val="18"/>
          <w:szCs w:val="18"/>
        </w:rPr>
        <w:t xml:space="preserve"> Così come previsto a seguito delle modifiche recata all’art. 23°, comma 10, d.lgs. 152/2006, ad opera della legge 118/2022. </w:t>
      </w:r>
    </w:p>
  </w:footnote>
  <w:footnote w:id="42">
    <w:p w14:paraId="7426C245" w14:textId="4570648A" w:rsidR="00074AAA" w:rsidRPr="00C51859" w:rsidRDefault="00074AAA" w:rsidP="00074AAA">
      <w:pPr>
        <w:pStyle w:val="Testonotaapidipagina"/>
        <w:jc w:val="both"/>
        <w:rPr>
          <w:rFonts w:ascii="Bookman Old Style" w:hAnsi="Bookman Old Style"/>
          <w:sz w:val="18"/>
          <w:szCs w:val="18"/>
        </w:rPr>
      </w:pPr>
      <w:r w:rsidRPr="00C51859">
        <w:rPr>
          <w:rStyle w:val="Rimandonotaapidipagina"/>
          <w:rFonts w:ascii="Bookman Old Style" w:hAnsi="Bookman Old Style"/>
          <w:sz w:val="16"/>
          <w:szCs w:val="16"/>
        </w:rPr>
        <w:footnoteRef/>
      </w:r>
      <w:r w:rsidRPr="00C51859">
        <w:rPr>
          <w:rFonts w:ascii="Bookman Old Style" w:hAnsi="Bookman Old Style"/>
          <w:sz w:val="18"/>
          <w:szCs w:val="18"/>
        </w:rPr>
        <w:t xml:space="preserve"> Invero, a seguito della modifica re</w:t>
      </w:r>
      <w:r w:rsidR="00C51859">
        <w:rPr>
          <w:rFonts w:ascii="Bookman Old Style" w:hAnsi="Bookman Old Style"/>
          <w:sz w:val="18"/>
          <w:szCs w:val="18"/>
        </w:rPr>
        <w:t>c</w:t>
      </w:r>
      <w:r w:rsidRPr="00C51859">
        <w:rPr>
          <w:rFonts w:ascii="Bookman Old Style" w:hAnsi="Bookman Old Style"/>
          <w:sz w:val="18"/>
          <w:szCs w:val="18"/>
        </w:rPr>
        <w:t>ata dalla legge 118/2022, l’art. 238, comma 10, d.lgs. 152/2006, non prevede più la possibilità di rientro anticipato nel servizio pubblico, rientro che però può essere legittimamente previsto dal regolamento comunale.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B9B"/>
    <w:multiLevelType w:val="hybridMultilevel"/>
    <w:tmpl w:val="D340D4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8C69EC"/>
    <w:multiLevelType w:val="hybridMultilevel"/>
    <w:tmpl w:val="BFE092B6"/>
    <w:lvl w:ilvl="0" w:tplc="04100017">
      <w:start w:val="1"/>
      <w:numFmt w:val="lowerLetter"/>
      <w:lvlText w:val="%1)"/>
      <w:lvlJc w:val="left"/>
      <w:pPr>
        <w:ind w:left="785"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2E82342"/>
    <w:multiLevelType w:val="multilevel"/>
    <w:tmpl w:val="96F2330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7C2EFF"/>
    <w:multiLevelType w:val="multilevel"/>
    <w:tmpl w:val="56E8844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rFonts w:ascii="Bookman Old Style" w:eastAsia="Times New Roman" w:hAnsi="Bookman Old Style"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FA0AC5"/>
    <w:multiLevelType w:val="hybridMultilevel"/>
    <w:tmpl w:val="ED4E5060"/>
    <w:lvl w:ilvl="0" w:tplc="D8F0F978">
      <w:start w:val="1"/>
      <w:numFmt w:val="lowerLetter"/>
      <w:lvlText w:val="%1)"/>
      <w:lvlJc w:val="left"/>
      <w:pPr>
        <w:ind w:left="644" w:hanging="360"/>
      </w:pPr>
      <w:rPr>
        <w:rFonts w:ascii="Bookman Old Style" w:eastAsia="Times New Roman" w:hAnsi="Bookman Old Style" w:cs="Times New Roman"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08B5F4B"/>
    <w:multiLevelType w:val="hybridMultilevel"/>
    <w:tmpl w:val="F2C889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5A03BD"/>
    <w:multiLevelType w:val="hybridMultilevel"/>
    <w:tmpl w:val="7B3E94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EC5857"/>
    <w:multiLevelType w:val="hybridMultilevel"/>
    <w:tmpl w:val="2CE49B54"/>
    <w:lvl w:ilvl="0" w:tplc="0410000F">
      <w:start w:val="1"/>
      <w:numFmt w:val="decimal"/>
      <w:lvlText w:val="%1."/>
      <w:lvlJc w:val="left"/>
      <w:pPr>
        <w:ind w:left="360" w:hanging="360"/>
      </w:p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8" w15:restartNumberingAfterBreak="0">
    <w:nsid w:val="15F04EEE"/>
    <w:multiLevelType w:val="hybridMultilevel"/>
    <w:tmpl w:val="7AC2DEF6"/>
    <w:lvl w:ilvl="0" w:tplc="869A6524">
      <w:start w:val="1"/>
      <w:numFmt w:val="low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9" w15:restartNumberingAfterBreak="0">
    <w:nsid w:val="17B408E2"/>
    <w:multiLevelType w:val="hybridMultilevel"/>
    <w:tmpl w:val="576E93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1F53A9"/>
    <w:multiLevelType w:val="hybridMultilevel"/>
    <w:tmpl w:val="6BD445BE"/>
    <w:lvl w:ilvl="0" w:tplc="0410000F">
      <w:start w:val="1"/>
      <w:numFmt w:val="decimal"/>
      <w:lvlText w:val="%1."/>
      <w:lvlJc w:val="left"/>
      <w:pPr>
        <w:ind w:left="360" w:hanging="360"/>
      </w:pPr>
    </w:lvl>
    <w:lvl w:ilvl="1" w:tplc="04100019">
      <w:start w:val="1"/>
      <w:numFmt w:val="lowerLetter"/>
      <w:lvlText w:val="%2."/>
      <w:lvlJc w:val="left"/>
      <w:pPr>
        <w:ind w:left="560" w:hanging="360"/>
      </w:pPr>
    </w:lvl>
    <w:lvl w:ilvl="2" w:tplc="0410001B">
      <w:start w:val="1"/>
      <w:numFmt w:val="lowerRoman"/>
      <w:lvlText w:val="%3."/>
      <w:lvlJc w:val="right"/>
      <w:pPr>
        <w:ind w:left="1280" w:hanging="180"/>
      </w:pPr>
    </w:lvl>
    <w:lvl w:ilvl="3" w:tplc="0410000F">
      <w:start w:val="1"/>
      <w:numFmt w:val="decimal"/>
      <w:lvlText w:val="%4."/>
      <w:lvlJc w:val="left"/>
      <w:pPr>
        <w:ind w:left="2000" w:hanging="360"/>
      </w:pPr>
    </w:lvl>
    <w:lvl w:ilvl="4" w:tplc="04100019">
      <w:start w:val="1"/>
      <w:numFmt w:val="lowerLetter"/>
      <w:lvlText w:val="%5."/>
      <w:lvlJc w:val="left"/>
      <w:pPr>
        <w:ind w:left="2720" w:hanging="360"/>
      </w:pPr>
    </w:lvl>
    <w:lvl w:ilvl="5" w:tplc="0410001B">
      <w:start w:val="1"/>
      <w:numFmt w:val="lowerRoman"/>
      <w:lvlText w:val="%6."/>
      <w:lvlJc w:val="right"/>
      <w:pPr>
        <w:ind w:left="3440" w:hanging="180"/>
      </w:pPr>
    </w:lvl>
    <w:lvl w:ilvl="6" w:tplc="0410000F">
      <w:start w:val="1"/>
      <w:numFmt w:val="decimal"/>
      <w:lvlText w:val="%7."/>
      <w:lvlJc w:val="left"/>
      <w:pPr>
        <w:ind w:left="4160" w:hanging="360"/>
      </w:pPr>
    </w:lvl>
    <w:lvl w:ilvl="7" w:tplc="04100019">
      <w:start w:val="1"/>
      <w:numFmt w:val="lowerLetter"/>
      <w:lvlText w:val="%8."/>
      <w:lvlJc w:val="left"/>
      <w:pPr>
        <w:ind w:left="4880" w:hanging="360"/>
      </w:pPr>
    </w:lvl>
    <w:lvl w:ilvl="8" w:tplc="0410001B">
      <w:start w:val="1"/>
      <w:numFmt w:val="lowerRoman"/>
      <w:lvlText w:val="%9."/>
      <w:lvlJc w:val="right"/>
      <w:pPr>
        <w:ind w:left="5600" w:hanging="180"/>
      </w:pPr>
    </w:lvl>
  </w:abstractNum>
  <w:abstractNum w:abstractNumId="11" w15:restartNumberingAfterBreak="0">
    <w:nsid w:val="20726C4B"/>
    <w:multiLevelType w:val="hybridMultilevel"/>
    <w:tmpl w:val="6E8ED7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46E3602"/>
    <w:multiLevelType w:val="hybridMultilevel"/>
    <w:tmpl w:val="FAECD2D6"/>
    <w:lvl w:ilvl="0" w:tplc="0410000F">
      <w:start w:val="1"/>
      <w:numFmt w:val="decimal"/>
      <w:lvlText w:val="%1."/>
      <w:lvlJc w:val="left"/>
      <w:pPr>
        <w:tabs>
          <w:tab w:val="num" w:pos="426"/>
        </w:tabs>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3" w15:restartNumberingAfterBreak="0">
    <w:nsid w:val="2A677E39"/>
    <w:multiLevelType w:val="multilevel"/>
    <w:tmpl w:val="539CE9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062327"/>
    <w:multiLevelType w:val="hybridMultilevel"/>
    <w:tmpl w:val="9CC81E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5A16A9"/>
    <w:multiLevelType w:val="hybridMultilevel"/>
    <w:tmpl w:val="22B26842"/>
    <w:lvl w:ilvl="0" w:tplc="DAC8E594">
      <w:start w:val="1"/>
      <w:numFmt w:val="decimal"/>
      <w:lvlText w:val="%1."/>
      <w:lvlJc w:val="left"/>
      <w:pPr>
        <w:ind w:left="1004" w:hanging="360"/>
      </w:pPr>
      <w:rPr>
        <w:rFonts w:ascii="Times New Roman" w:hAnsi="Times New Roman" w:hint="default"/>
        <w:color w:val="auto"/>
        <w:sz w:val="20"/>
        <w:szCs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15:restartNumberingAfterBreak="0">
    <w:nsid w:val="2DE97BD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0E4949"/>
    <w:multiLevelType w:val="multilevel"/>
    <w:tmpl w:val="A4F4D474"/>
    <w:lvl w:ilvl="0">
      <w:start w:val="1"/>
      <w:numFmt w:val="decimal"/>
      <w:lvlText w:val="%1."/>
      <w:lvlJc w:val="left"/>
      <w:pPr>
        <w:ind w:left="786" w:hanging="360"/>
      </w:pPr>
      <w:rPr>
        <w:rFonts w:hint="default"/>
      </w:r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8" w15:restartNumberingAfterBreak="0">
    <w:nsid w:val="32400F2F"/>
    <w:multiLevelType w:val="hybridMultilevel"/>
    <w:tmpl w:val="564C2D04"/>
    <w:lvl w:ilvl="0" w:tplc="FE2EE1DA">
      <w:start w:val="1"/>
      <w:numFmt w:val="lowerLetter"/>
      <w:lvlText w:val="%1."/>
      <w:lvlJc w:val="left"/>
      <w:pPr>
        <w:ind w:left="1364"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9" w15:restartNumberingAfterBreak="0">
    <w:nsid w:val="347E0C0A"/>
    <w:multiLevelType w:val="hybridMultilevel"/>
    <w:tmpl w:val="FF365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4AE2293"/>
    <w:multiLevelType w:val="hybridMultilevel"/>
    <w:tmpl w:val="2AA201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215AB3"/>
    <w:multiLevelType w:val="hybridMultilevel"/>
    <w:tmpl w:val="7416DAF0"/>
    <w:lvl w:ilvl="0" w:tplc="EBA6ED5A">
      <w:start w:val="1"/>
      <w:numFmt w:val="lowerLetter"/>
      <w:lvlText w:val="%1)"/>
      <w:lvlJc w:val="left"/>
      <w:pPr>
        <w:ind w:left="502" w:hanging="360"/>
      </w:pPr>
      <w:rPr>
        <w:rFonts w:hint="default"/>
      </w:rPr>
    </w:lvl>
    <w:lvl w:ilvl="1" w:tplc="C68804B4">
      <w:start w:val="1"/>
      <w:numFmt w:val="decimal"/>
      <w:lvlText w:val="%2)"/>
      <w:lvlJc w:val="left"/>
      <w:pPr>
        <w:ind w:left="1146" w:hanging="360"/>
      </w:pPr>
      <w:rPr>
        <w:rFonts w:hint="default"/>
      </w:r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22" w15:restartNumberingAfterBreak="0">
    <w:nsid w:val="3968037A"/>
    <w:multiLevelType w:val="hybridMultilevel"/>
    <w:tmpl w:val="0218BE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211636"/>
    <w:multiLevelType w:val="multilevel"/>
    <w:tmpl w:val="B2FC1E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2E02AF"/>
    <w:multiLevelType w:val="multilevel"/>
    <w:tmpl w:val="A92EBA4A"/>
    <w:lvl w:ilvl="0">
      <w:start w:val="1"/>
      <w:numFmt w:val="decimal"/>
      <w:lvlText w:val="%1."/>
      <w:lvlJc w:val="left"/>
      <w:pPr>
        <w:ind w:left="786" w:hanging="360"/>
      </w:pPr>
      <w:rPr>
        <w:rFonts w:hint="default"/>
      </w:rPr>
    </w:lvl>
    <w:lvl w:ilvl="1">
      <w:start w:val="1"/>
      <w:numFmt w:val="lowerLetter"/>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5" w15:restartNumberingAfterBreak="0">
    <w:nsid w:val="464A49CE"/>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9BD9272"/>
    <w:multiLevelType w:val="hybridMultilevel"/>
    <w:tmpl w:val="BCE2C9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E4A2C80"/>
    <w:multiLevelType w:val="hybridMultilevel"/>
    <w:tmpl w:val="575A7CE4"/>
    <w:lvl w:ilvl="0" w:tplc="0410000F">
      <w:start w:val="1"/>
      <w:numFmt w:val="decimal"/>
      <w:lvlText w:val="%1."/>
      <w:lvlJc w:val="left"/>
      <w:pPr>
        <w:ind w:left="502"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4FED6CEF"/>
    <w:multiLevelType w:val="hybridMultilevel"/>
    <w:tmpl w:val="2CE49B54"/>
    <w:lvl w:ilvl="0" w:tplc="0410000F">
      <w:start w:val="1"/>
      <w:numFmt w:val="decimal"/>
      <w:lvlText w:val="%1."/>
      <w:lvlJc w:val="left"/>
      <w:pPr>
        <w:ind w:left="36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53B93358"/>
    <w:multiLevelType w:val="hybridMultilevel"/>
    <w:tmpl w:val="D2BC26E2"/>
    <w:lvl w:ilvl="0" w:tplc="C68804B4">
      <w:start w:val="1"/>
      <w:numFmt w:val="decimal"/>
      <w:lvlText w:val="%1)"/>
      <w:lvlJc w:val="left"/>
      <w:pPr>
        <w:ind w:left="862" w:hanging="360"/>
      </w:pPr>
      <w:rPr>
        <w:rFonts w:hint="default"/>
      </w:rPr>
    </w:lvl>
    <w:lvl w:ilvl="1" w:tplc="C68804B4">
      <w:start w:val="1"/>
      <w:numFmt w:val="decimal"/>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4C70C7E"/>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5671BFD"/>
    <w:multiLevelType w:val="multilevel"/>
    <w:tmpl w:val="D6C6074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DD4621F"/>
    <w:multiLevelType w:val="hybridMultilevel"/>
    <w:tmpl w:val="D4740768"/>
    <w:lvl w:ilvl="0" w:tplc="1F3A55E6">
      <w:numFmt w:val="bullet"/>
      <w:lvlText w:val="-"/>
      <w:lvlJc w:val="left"/>
      <w:pPr>
        <w:ind w:left="757" w:hanging="360"/>
      </w:pPr>
      <w:rPr>
        <w:rFonts w:ascii="Bookman Old Style" w:eastAsia="Times New Roman" w:hAnsi="Bookman Old Style" w:cs="Times New Roman"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3" w15:restartNumberingAfterBreak="0">
    <w:nsid w:val="6E33645A"/>
    <w:multiLevelType w:val="hybridMultilevel"/>
    <w:tmpl w:val="2BB2D9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0012BB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9A637B1"/>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B7463B5"/>
    <w:multiLevelType w:val="hybridMultilevel"/>
    <w:tmpl w:val="6AE8A804"/>
    <w:lvl w:ilvl="0" w:tplc="1EC23E18">
      <w:start w:val="1"/>
      <w:numFmt w:val="decimal"/>
      <w:lvlText w:val="%1."/>
      <w:lvlJc w:val="left"/>
      <w:pPr>
        <w:ind w:left="426" w:hanging="360"/>
      </w:pPr>
      <w:rPr>
        <w:color w:val="auto"/>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37" w15:restartNumberingAfterBreak="0">
    <w:nsid w:val="7C7F5618"/>
    <w:multiLevelType w:val="hybridMultilevel"/>
    <w:tmpl w:val="349A6BFC"/>
    <w:lvl w:ilvl="0" w:tplc="6A5CC6FC">
      <w:start w:val="3"/>
      <w:numFmt w:val="bullet"/>
      <w:lvlText w:val="-"/>
      <w:lvlJc w:val="left"/>
      <w:pPr>
        <w:ind w:left="757" w:hanging="360"/>
      </w:pPr>
      <w:rPr>
        <w:rFonts w:ascii="Garamond" w:eastAsia="Times New Roman" w:hAnsi="Garamond" w:cs="Times New Roman"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8" w15:restartNumberingAfterBreak="0">
    <w:nsid w:val="7C9E070A"/>
    <w:multiLevelType w:val="hybridMultilevel"/>
    <w:tmpl w:val="834437E8"/>
    <w:lvl w:ilvl="0" w:tplc="C118317A">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7DF56E64"/>
    <w:multiLevelType w:val="hybridMultilevel"/>
    <w:tmpl w:val="015696BC"/>
    <w:lvl w:ilvl="0" w:tplc="4D7AC5BA">
      <w:start w:val="1"/>
      <w:numFmt w:val="lowerLetter"/>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40" w15:restartNumberingAfterBreak="0">
    <w:nsid w:val="7E136ADE"/>
    <w:multiLevelType w:val="hybridMultilevel"/>
    <w:tmpl w:val="E73EDB6E"/>
    <w:lvl w:ilvl="0" w:tplc="FE2EE1DA">
      <w:start w:val="1"/>
      <w:numFmt w:val="low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num w:numId="1" w16cid:durableId="442842873">
    <w:abstractNumId w:val="7"/>
  </w:num>
  <w:num w:numId="2" w16cid:durableId="225336422">
    <w:abstractNumId w:val="24"/>
  </w:num>
  <w:num w:numId="3" w16cid:durableId="888538840">
    <w:abstractNumId w:val="21"/>
  </w:num>
  <w:num w:numId="4" w16cid:durableId="300695766">
    <w:abstractNumId w:val="12"/>
  </w:num>
  <w:num w:numId="5" w16cid:durableId="1741710676">
    <w:abstractNumId w:val="17"/>
  </w:num>
  <w:num w:numId="6" w16cid:durableId="1218467482">
    <w:abstractNumId w:val="27"/>
  </w:num>
  <w:num w:numId="7" w16cid:durableId="1404839282">
    <w:abstractNumId w:val="4"/>
  </w:num>
  <w:num w:numId="8" w16cid:durableId="2132429245">
    <w:abstractNumId w:val="1"/>
  </w:num>
  <w:num w:numId="9" w16cid:durableId="649748740">
    <w:abstractNumId w:val="35"/>
  </w:num>
  <w:num w:numId="10" w16cid:durableId="1612081779">
    <w:abstractNumId w:val="16"/>
  </w:num>
  <w:num w:numId="11" w16cid:durableId="133645423">
    <w:abstractNumId w:val="30"/>
  </w:num>
  <w:num w:numId="12" w16cid:durableId="342244517">
    <w:abstractNumId w:val="3"/>
  </w:num>
  <w:num w:numId="13" w16cid:durableId="1873154122">
    <w:abstractNumId w:val="39"/>
  </w:num>
  <w:num w:numId="14" w16cid:durableId="1436097185">
    <w:abstractNumId w:val="26"/>
  </w:num>
  <w:num w:numId="15" w16cid:durableId="801463101">
    <w:abstractNumId w:val="37"/>
  </w:num>
  <w:num w:numId="16" w16cid:durableId="1717004641">
    <w:abstractNumId w:val="32"/>
  </w:num>
  <w:num w:numId="17" w16cid:durableId="164592614">
    <w:abstractNumId w:val="15"/>
  </w:num>
  <w:num w:numId="18" w16cid:durableId="772170256">
    <w:abstractNumId w:val="6"/>
  </w:num>
  <w:num w:numId="19" w16cid:durableId="1148861897">
    <w:abstractNumId w:val="34"/>
  </w:num>
  <w:num w:numId="20" w16cid:durableId="48580247">
    <w:abstractNumId w:val="25"/>
  </w:num>
  <w:num w:numId="21" w16cid:durableId="1042362078">
    <w:abstractNumId w:val="22"/>
  </w:num>
  <w:num w:numId="22" w16cid:durableId="290672131">
    <w:abstractNumId w:val="5"/>
  </w:num>
  <w:num w:numId="23" w16cid:durableId="1452821448">
    <w:abstractNumId w:val="38"/>
  </w:num>
  <w:num w:numId="24" w16cid:durableId="2003043006">
    <w:abstractNumId w:val="29"/>
  </w:num>
  <w:num w:numId="25" w16cid:durableId="1892694448">
    <w:abstractNumId w:val="36"/>
  </w:num>
  <w:num w:numId="26" w16cid:durableId="79916706">
    <w:abstractNumId w:val="11"/>
  </w:num>
  <w:num w:numId="27" w16cid:durableId="742217157">
    <w:abstractNumId w:val="28"/>
  </w:num>
  <w:num w:numId="28" w16cid:durableId="1459298506">
    <w:abstractNumId w:val="9"/>
  </w:num>
  <w:num w:numId="29" w16cid:durableId="11440793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69225">
    <w:abstractNumId w:val="23"/>
  </w:num>
  <w:num w:numId="31" w16cid:durableId="790825730">
    <w:abstractNumId w:val="13"/>
  </w:num>
  <w:num w:numId="32" w16cid:durableId="1126897512">
    <w:abstractNumId w:val="19"/>
  </w:num>
  <w:num w:numId="33" w16cid:durableId="1359430694">
    <w:abstractNumId w:val="2"/>
  </w:num>
  <w:num w:numId="34" w16cid:durableId="1788693015">
    <w:abstractNumId w:val="31"/>
  </w:num>
  <w:num w:numId="35" w16cid:durableId="1126511339">
    <w:abstractNumId w:val="8"/>
  </w:num>
  <w:num w:numId="36" w16cid:durableId="1186481480">
    <w:abstractNumId w:val="40"/>
  </w:num>
  <w:num w:numId="37" w16cid:durableId="1008485182">
    <w:abstractNumId w:val="18"/>
  </w:num>
  <w:num w:numId="38" w16cid:durableId="698429499">
    <w:abstractNumId w:val="0"/>
  </w:num>
  <w:num w:numId="39" w16cid:durableId="1451511089">
    <w:abstractNumId w:val="33"/>
  </w:num>
  <w:num w:numId="40" w16cid:durableId="27609210">
    <w:abstractNumId w:val="20"/>
  </w:num>
  <w:num w:numId="41" w16cid:durableId="10118331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0NTMyMja1NDewNDFU0lEKTi0uzszPAykwrAUAzUWsuSwAAAA="/>
  </w:docVars>
  <w:rsids>
    <w:rsidRoot w:val="00E7171A"/>
    <w:rsid w:val="00002FC6"/>
    <w:rsid w:val="000030BE"/>
    <w:rsid w:val="000069A3"/>
    <w:rsid w:val="00010850"/>
    <w:rsid w:val="00011165"/>
    <w:rsid w:val="000111FD"/>
    <w:rsid w:val="0001318A"/>
    <w:rsid w:val="00013453"/>
    <w:rsid w:val="00013FC0"/>
    <w:rsid w:val="00014948"/>
    <w:rsid w:val="0001620E"/>
    <w:rsid w:val="000216F3"/>
    <w:rsid w:val="00023036"/>
    <w:rsid w:val="000301DB"/>
    <w:rsid w:val="000329C6"/>
    <w:rsid w:val="000341A9"/>
    <w:rsid w:val="000342E3"/>
    <w:rsid w:val="00041623"/>
    <w:rsid w:val="00042998"/>
    <w:rsid w:val="0004610D"/>
    <w:rsid w:val="00046423"/>
    <w:rsid w:val="00046F6E"/>
    <w:rsid w:val="00047EE1"/>
    <w:rsid w:val="000528F4"/>
    <w:rsid w:val="0005376A"/>
    <w:rsid w:val="000578CA"/>
    <w:rsid w:val="00062168"/>
    <w:rsid w:val="0006349C"/>
    <w:rsid w:val="000645F9"/>
    <w:rsid w:val="00065517"/>
    <w:rsid w:val="00067E98"/>
    <w:rsid w:val="0007001F"/>
    <w:rsid w:val="0007013C"/>
    <w:rsid w:val="00070BDE"/>
    <w:rsid w:val="000711EB"/>
    <w:rsid w:val="000713C4"/>
    <w:rsid w:val="00074AAA"/>
    <w:rsid w:val="00075478"/>
    <w:rsid w:val="000800DF"/>
    <w:rsid w:val="00080AD9"/>
    <w:rsid w:val="000832EB"/>
    <w:rsid w:val="0008470B"/>
    <w:rsid w:val="00092A7D"/>
    <w:rsid w:val="00092D62"/>
    <w:rsid w:val="000930BE"/>
    <w:rsid w:val="00094708"/>
    <w:rsid w:val="000961AC"/>
    <w:rsid w:val="000962FC"/>
    <w:rsid w:val="000A0719"/>
    <w:rsid w:val="000A1DC3"/>
    <w:rsid w:val="000A1FB1"/>
    <w:rsid w:val="000A3E43"/>
    <w:rsid w:val="000A47BB"/>
    <w:rsid w:val="000B11DF"/>
    <w:rsid w:val="000B3277"/>
    <w:rsid w:val="000B48C0"/>
    <w:rsid w:val="000B55EC"/>
    <w:rsid w:val="000B6228"/>
    <w:rsid w:val="000C05E9"/>
    <w:rsid w:val="000C30C1"/>
    <w:rsid w:val="000C4BC7"/>
    <w:rsid w:val="000C5D91"/>
    <w:rsid w:val="000C5FC8"/>
    <w:rsid w:val="000C7302"/>
    <w:rsid w:val="000D1705"/>
    <w:rsid w:val="000E6A7D"/>
    <w:rsid w:val="000E7C16"/>
    <w:rsid w:val="000F0ABA"/>
    <w:rsid w:val="000F0F38"/>
    <w:rsid w:val="000F12E1"/>
    <w:rsid w:val="000F25A8"/>
    <w:rsid w:val="000F27AA"/>
    <w:rsid w:val="000F56D4"/>
    <w:rsid w:val="000F5962"/>
    <w:rsid w:val="000F6B23"/>
    <w:rsid w:val="001011BC"/>
    <w:rsid w:val="00101533"/>
    <w:rsid w:val="001075D7"/>
    <w:rsid w:val="00107C9A"/>
    <w:rsid w:val="00110773"/>
    <w:rsid w:val="00112D95"/>
    <w:rsid w:val="00114E49"/>
    <w:rsid w:val="00117B15"/>
    <w:rsid w:val="001233FE"/>
    <w:rsid w:val="00124529"/>
    <w:rsid w:val="001271F4"/>
    <w:rsid w:val="0013002D"/>
    <w:rsid w:val="001320AD"/>
    <w:rsid w:val="00136B89"/>
    <w:rsid w:val="00137DB7"/>
    <w:rsid w:val="0014206D"/>
    <w:rsid w:val="00143E56"/>
    <w:rsid w:val="00146AC2"/>
    <w:rsid w:val="00147AE8"/>
    <w:rsid w:val="00154665"/>
    <w:rsid w:val="00154855"/>
    <w:rsid w:val="00154B9B"/>
    <w:rsid w:val="0015598B"/>
    <w:rsid w:val="00160407"/>
    <w:rsid w:val="00163495"/>
    <w:rsid w:val="00163F82"/>
    <w:rsid w:val="0017208B"/>
    <w:rsid w:val="0017396B"/>
    <w:rsid w:val="00173FD4"/>
    <w:rsid w:val="00175727"/>
    <w:rsid w:val="00181987"/>
    <w:rsid w:val="00185B36"/>
    <w:rsid w:val="00186310"/>
    <w:rsid w:val="0018686E"/>
    <w:rsid w:val="00186CCC"/>
    <w:rsid w:val="0019104E"/>
    <w:rsid w:val="00191979"/>
    <w:rsid w:val="00192C19"/>
    <w:rsid w:val="001951E9"/>
    <w:rsid w:val="00195B81"/>
    <w:rsid w:val="00197E2C"/>
    <w:rsid w:val="001A14B7"/>
    <w:rsid w:val="001A26C4"/>
    <w:rsid w:val="001A4C0E"/>
    <w:rsid w:val="001B3C9B"/>
    <w:rsid w:val="001B4A28"/>
    <w:rsid w:val="001B600F"/>
    <w:rsid w:val="001C3068"/>
    <w:rsid w:val="001C3F03"/>
    <w:rsid w:val="001C4CF3"/>
    <w:rsid w:val="001C5992"/>
    <w:rsid w:val="001C63A3"/>
    <w:rsid w:val="001C7E07"/>
    <w:rsid w:val="001D0F14"/>
    <w:rsid w:val="001D27F7"/>
    <w:rsid w:val="001D3243"/>
    <w:rsid w:val="001D4888"/>
    <w:rsid w:val="001D7703"/>
    <w:rsid w:val="001E032C"/>
    <w:rsid w:val="001E0F5C"/>
    <w:rsid w:val="001E1665"/>
    <w:rsid w:val="001E32BD"/>
    <w:rsid w:val="001E445C"/>
    <w:rsid w:val="001E516D"/>
    <w:rsid w:val="001E5662"/>
    <w:rsid w:val="001E67CF"/>
    <w:rsid w:val="001E6CFA"/>
    <w:rsid w:val="001E74C8"/>
    <w:rsid w:val="001E7711"/>
    <w:rsid w:val="001F0D8B"/>
    <w:rsid w:val="001F2BB0"/>
    <w:rsid w:val="001F315B"/>
    <w:rsid w:val="001F5464"/>
    <w:rsid w:val="001F5546"/>
    <w:rsid w:val="001F7B14"/>
    <w:rsid w:val="00202EAF"/>
    <w:rsid w:val="002045DB"/>
    <w:rsid w:val="002045FD"/>
    <w:rsid w:val="002048A8"/>
    <w:rsid w:val="00206834"/>
    <w:rsid w:val="00206DED"/>
    <w:rsid w:val="002070BB"/>
    <w:rsid w:val="00212938"/>
    <w:rsid w:val="00212B10"/>
    <w:rsid w:val="002149FA"/>
    <w:rsid w:val="002151EC"/>
    <w:rsid w:val="002223AF"/>
    <w:rsid w:val="002257C6"/>
    <w:rsid w:val="002315CF"/>
    <w:rsid w:val="00231722"/>
    <w:rsid w:val="00232931"/>
    <w:rsid w:val="0023296A"/>
    <w:rsid w:val="0023338B"/>
    <w:rsid w:val="0023558A"/>
    <w:rsid w:val="002436FC"/>
    <w:rsid w:val="00245207"/>
    <w:rsid w:val="002550DD"/>
    <w:rsid w:val="00255313"/>
    <w:rsid w:val="0025534C"/>
    <w:rsid w:val="00255B96"/>
    <w:rsid w:val="00260F4D"/>
    <w:rsid w:val="00260F87"/>
    <w:rsid w:val="00262BE1"/>
    <w:rsid w:val="00264295"/>
    <w:rsid w:val="00265762"/>
    <w:rsid w:val="002661CF"/>
    <w:rsid w:val="00266EDC"/>
    <w:rsid w:val="0027226C"/>
    <w:rsid w:val="00273891"/>
    <w:rsid w:val="00274BB5"/>
    <w:rsid w:val="00276CF7"/>
    <w:rsid w:val="00280394"/>
    <w:rsid w:val="00280ADC"/>
    <w:rsid w:val="00280D13"/>
    <w:rsid w:val="00280DD5"/>
    <w:rsid w:val="002813B8"/>
    <w:rsid w:val="00281E7E"/>
    <w:rsid w:val="00282AD2"/>
    <w:rsid w:val="002850A6"/>
    <w:rsid w:val="00285D2B"/>
    <w:rsid w:val="0028602B"/>
    <w:rsid w:val="0028716D"/>
    <w:rsid w:val="00290340"/>
    <w:rsid w:val="0029037F"/>
    <w:rsid w:val="00292FDB"/>
    <w:rsid w:val="00295092"/>
    <w:rsid w:val="00295B21"/>
    <w:rsid w:val="0029634B"/>
    <w:rsid w:val="002963DC"/>
    <w:rsid w:val="002975DF"/>
    <w:rsid w:val="00297930"/>
    <w:rsid w:val="002A0BFF"/>
    <w:rsid w:val="002A38C6"/>
    <w:rsid w:val="002A4345"/>
    <w:rsid w:val="002A449F"/>
    <w:rsid w:val="002A5BC1"/>
    <w:rsid w:val="002A6E90"/>
    <w:rsid w:val="002B00D9"/>
    <w:rsid w:val="002B0B90"/>
    <w:rsid w:val="002B51EF"/>
    <w:rsid w:val="002B725B"/>
    <w:rsid w:val="002B7748"/>
    <w:rsid w:val="002C1043"/>
    <w:rsid w:val="002C1A02"/>
    <w:rsid w:val="002C1BB2"/>
    <w:rsid w:val="002C1F4B"/>
    <w:rsid w:val="002C29EE"/>
    <w:rsid w:val="002C45AB"/>
    <w:rsid w:val="002C7A30"/>
    <w:rsid w:val="002C7D9C"/>
    <w:rsid w:val="002C7E07"/>
    <w:rsid w:val="002D23CE"/>
    <w:rsid w:val="002D31AC"/>
    <w:rsid w:val="002D37A6"/>
    <w:rsid w:val="002D6095"/>
    <w:rsid w:val="002D6648"/>
    <w:rsid w:val="002D6741"/>
    <w:rsid w:val="002D6987"/>
    <w:rsid w:val="002D6B87"/>
    <w:rsid w:val="002E16D0"/>
    <w:rsid w:val="002E260E"/>
    <w:rsid w:val="002F23D6"/>
    <w:rsid w:val="002F353B"/>
    <w:rsid w:val="002F74B4"/>
    <w:rsid w:val="00302FD4"/>
    <w:rsid w:val="0030450D"/>
    <w:rsid w:val="0030691A"/>
    <w:rsid w:val="0030715C"/>
    <w:rsid w:val="00307DF9"/>
    <w:rsid w:val="00312C72"/>
    <w:rsid w:val="003171DA"/>
    <w:rsid w:val="003207D4"/>
    <w:rsid w:val="00321B1A"/>
    <w:rsid w:val="0032240F"/>
    <w:rsid w:val="0032373F"/>
    <w:rsid w:val="00324677"/>
    <w:rsid w:val="00326661"/>
    <w:rsid w:val="00326ECF"/>
    <w:rsid w:val="00330392"/>
    <w:rsid w:val="0033491C"/>
    <w:rsid w:val="00335399"/>
    <w:rsid w:val="0033609D"/>
    <w:rsid w:val="00336551"/>
    <w:rsid w:val="0034265B"/>
    <w:rsid w:val="003428F0"/>
    <w:rsid w:val="00343CDF"/>
    <w:rsid w:val="00345985"/>
    <w:rsid w:val="00345C6B"/>
    <w:rsid w:val="00347824"/>
    <w:rsid w:val="0035498B"/>
    <w:rsid w:val="00355395"/>
    <w:rsid w:val="00355FCF"/>
    <w:rsid w:val="003565BD"/>
    <w:rsid w:val="00357764"/>
    <w:rsid w:val="00360071"/>
    <w:rsid w:val="003611EF"/>
    <w:rsid w:val="00361B40"/>
    <w:rsid w:val="00361BDD"/>
    <w:rsid w:val="003628AB"/>
    <w:rsid w:val="0036327A"/>
    <w:rsid w:val="00363E56"/>
    <w:rsid w:val="003646FA"/>
    <w:rsid w:val="003647D2"/>
    <w:rsid w:val="00364A13"/>
    <w:rsid w:val="00365399"/>
    <w:rsid w:val="00365E3C"/>
    <w:rsid w:val="00367CCB"/>
    <w:rsid w:val="00373EA3"/>
    <w:rsid w:val="003749DD"/>
    <w:rsid w:val="00381976"/>
    <w:rsid w:val="00381AAE"/>
    <w:rsid w:val="0038349C"/>
    <w:rsid w:val="003836C6"/>
    <w:rsid w:val="00383A7F"/>
    <w:rsid w:val="00384CB6"/>
    <w:rsid w:val="003917A2"/>
    <w:rsid w:val="0039313B"/>
    <w:rsid w:val="003942B0"/>
    <w:rsid w:val="003947B2"/>
    <w:rsid w:val="00394D96"/>
    <w:rsid w:val="00395FBD"/>
    <w:rsid w:val="003A21BF"/>
    <w:rsid w:val="003A422E"/>
    <w:rsid w:val="003A49C9"/>
    <w:rsid w:val="003A5ADB"/>
    <w:rsid w:val="003A72C5"/>
    <w:rsid w:val="003B01C3"/>
    <w:rsid w:val="003B1C2E"/>
    <w:rsid w:val="003B1CD7"/>
    <w:rsid w:val="003B32D6"/>
    <w:rsid w:val="003B33D4"/>
    <w:rsid w:val="003B3D24"/>
    <w:rsid w:val="003B649B"/>
    <w:rsid w:val="003C01E3"/>
    <w:rsid w:val="003C18D2"/>
    <w:rsid w:val="003C2104"/>
    <w:rsid w:val="003C2AFA"/>
    <w:rsid w:val="003C489D"/>
    <w:rsid w:val="003C5236"/>
    <w:rsid w:val="003C6248"/>
    <w:rsid w:val="003D0CA6"/>
    <w:rsid w:val="003D1051"/>
    <w:rsid w:val="003D2581"/>
    <w:rsid w:val="003D343F"/>
    <w:rsid w:val="003D408C"/>
    <w:rsid w:val="003D6BE3"/>
    <w:rsid w:val="003D71B6"/>
    <w:rsid w:val="003D7562"/>
    <w:rsid w:val="003E4EE7"/>
    <w:rsid w:val="003F1353"/>
    <w:rsid w:val="003F243C"/>
    <w:rsid w:val="003F315A"/>
    <w:rsid w:val="003F64CE"/>
    <w:rsid w:val="0040134B"/>
    <w:rsid w:val="0040140E"/>
    <w:rsid w:val="0040177B"/>
    <w:rsid w:val="00401D39"/>
    <w:rsid w:val="0040223A"/>
    <w:rsid w:val="00402C6A"/>
    <w:rsid w:val="00402ED3"/>
    <w:rsid w:val="0040332A"/>
    <w:rsid w:val="00407131"/>
    <w:rsid w:val="004126BF"/>
    <w:rsid w:val="00416083"/>
    <w:rsid w:val="004160F4"/>
    <w:rsid w:val="004162AA"/>
    <w:rsid w:val="00416C19"/>
    <w:rsid w:val="004171CB"/>
    <w:rsid w:val="00420825"/>
    <w:rsid w:val="00422D92"/>
    <w:rsid w:val="00422EF2"/>
    <w:rsid w:val="004235DC"/>
    <w:rsid w:val="00424464"/>
    <w:rsid w:val="00424751"/>
    <w:rsid w:val="00425CEE"/>
    <w:rsid w:val="00430BEA"/>
    <w:rsid w:val="00431E86"/>
    <w:rsid w:val="00432B00"/>
    <w:rsid w:val="00433CCE"/>
    <w:rsid w:val="00437298"/>
    <w:rsid w:val="00441FB9"/>
    <w:rsid w:val="004421F6"/>
    <w:rsid w:val="0044244D"/>
    <w:rsid w:val="0044388D"/>
    <w:rsid w:val="004458A2"/>
    <w:rsid w:val="00446623"/>
    <w:rsid w:val="00446983"/>
    <w:rsid w:val="00447773"/>
    <w:rsid w:val="00447BDF"/>
    <w:rsid w:val="004508BE"/>
    <w:rsid w:val="00452DED"/>
    <w:rsid w:val="004554D0"/>
    <w:rsid w:val="004560DB"/>
    <w:rsid w:val="0045795E"/>
    <w:rsid w:val="00464327"/>
    <w:rsid w:val="00464674"/>
    <w:rsid w:val="004650C6"/>
    <w:rsid w:val="00466119"/>
    <w:rsid w:val="00466C28"/>
    <w:rsid w:val="00467780"/>
    <w:rsid w:val="00467D12"/>
    <w:rsid w:val="00467E64"/>
    <w:rsid w:val="00471196"/>
    <w:rsid w:val="00473B41"/>
    <w:rsid w:val="00480183"/>
    <w:rsid w:val="00481AA4"/>
    <w:rsid w:val="004833A1"/>
    <w:rsid w:val="00483750"/>
    <w:rsid w:val="004838C1"/>
    <w:rsid w:val="00483B4C"/>
    <w:rsid w:val="00485DC2"/>
    <w:rsid w:val="00491004"/>
    <w:rsid w:val="00492502"/>
    <w:rsid w:val="00492DA8"/>
    <w:rsid w:val="004935C2"/>
    <w:rsid w:val="0049542B"/>
    <w:rsid w:val="00495EB9"/>
    <w:rsid w:val="00496440"/>
    <w:rsid w:val="00497440"/>
    <w:rsid w:val="004A196E"/>
    <w:rsid w:val="004A2CCE"/>
    <w:rsid w:val="004A4764"/>
    <w:rsid w:val="004A6055"/>
    <w:rsid w:val="004B0C59"/>
    <w:rsid w:val="004B4148"/>
    <w:rsid w:val="004B5348"/>
    <w:rsid w:val="004B5D47"/>
    <w:rsid w:val="004B723B"/>
    <w:rsid w:val="004C052C"/>
    <w:rsid w:val="004C1E04"/>
    <w:rsid w:val="004C4113"/>
    <w:rsid w:val="004C7BC6"/>
    <w:rsid w:val="004C7BFB"/>
    <w:rsid w:val="004D2DC5"/>
    <w:rsid w:val="004D3A95"/>
    <w:rsid w:val="004D4990"/>
    <w:rsid w:val="004D6A54"/>
    <w:rsid w:val="004E27F7"/>
    <w:rsid w:val="004E2F27"/>
    <w:rsid w:val="004E4C2B"/>
    <w:rsid w:val="004F0322"/>
    <w:rsid w:val="004F122E"/>
    <w:rsid w:val="004F20EB"/>
    <w:rsid w:val="004F3197"/>
    <w:rsid w:val="004F3AA6"/>
    <w:rsid w:val="005051C9"/>
    <w:rsid w:val="00505E3C"/>
    <w:rsid w:val="005113A0"/>
    <w:rsid w:val="0051192F"/>
    <w:rsid w:val="00513CA4"/>
    <w:rsid w:val="0051625E"/>
    <w:rsid w:val="00517A1E"/>
    <w:rsid w:val="00520019"/>
    <w:rsid w:val="00524C99"/>
    <w:rsid w:val="005313E7"/>
    <w:rsid w:val="005316BC"/>
    <w:rsid w:val="005327D4"/>
    <w:rsid w:val="005328E4"/>
    <w:rsid w:val="00534532"/>
    <w:rsid w:val="00535B73"/>
    <w:rsid w:val="005362D0"/>
    <w:rsid w:val="00537892"/>
    <w:rsid w:val="00541773"/>
    <w:rsid w:val="00542A7A"/>
    <w:rsid w:val="00543125"/>
    <w:rsid w:val="00543DCF"/>
    <w:rsid w:val="0055097A"/>
    <w:rsid w:val="00552CA6"/>
    <w:rsid w:val="005553CB"/>
    <w:rsid w:val="00556721"/>
    <w:rsid w:val="00561AC8"/>
    <w:rsid w:val="0056464E"/>
    <w:rsid w:val="00564914"/>
    <w:rsid w:val="00564971"/>
    <w:rsid w:val="00566ACE"/>
    <w:rsid w:val="005676EC"/>
    <w:rsid w:val="0057038B"/>
    <w:rsid w:val="00571627"/>
    <w:rsid w:val="005717E1"/>
    <w:rsid w:val="00571B48"/>
    <w:rsid w:val="00574D1B"/>
    <w:rsid w:val="00580D54"/>
    <w:rsid w:val="005823E3"/>
    <w:rsid w:val="005838C9"/>
    <w:rsid w:val="00583C68"/>
    <w:rsid w:val="00584191"/>
    <w:rsid w:val="00587F43"/>
    <w:rsid w:val="005918C6"/>
    <w:rsid w:val="005954BC"/>
    <w:rsid w:val="00597697"/>
    <w:rsid w:val="005A103C"/>
    <w:rsid w:val="005A2BDD"/>
    <w:rsid w:val="005A35AB"/>
    <w:rsid w:val="005A46D3"/>
    <w:rsid w:val="005A5438"/>
    <w:rsid w:val="005A5609"/>
    <w:rsid w:val="005A776A"/>
    <w:rsid w:val="005B1241"/>
    <w:rsid w:val="005B1D45"/>
    <w:rsid w:val="005B22E2"/>
    <w:rsid w:val="005B263A"/>
    <w:rsid w:val="005B3920"/>
    <w:rsid w:val="005B51D7"/>
    <w:rsid w:val="005C1A78"/>
    <w:rsid w:val="005C2CCC"/>
    <w:rsid w:val="005C3103"/>
    <w:rsid w:val="005C34E3"/>
    <w:rsid w:val="005C4C39"/>
    <w:rsid w:val="005C4FBA"/>
    <w:rsid w:val="005D216A"/>
    <w:rsid w:val="005D256A"/>
    <w:rsid w:val="005D2E2E"/>
    <w:rsid w:val="005D3A92"/>
    <w:rsid w:val="005D3BCE"/>
    <w:rsid w:val="005D41B3"/>
    <w:rsid w:val="005D4A36"/>
    <w:rsid w:val="005D5382"/>
    <w:rsid w:val="005D7DB1"/>
    <w:rsid w:val="005E02FD"/>
    <w:rsid w:val="005E335E"/>
    <w:rsid w:val="005E3E70"/>
    <w:rsid w:val="005E46D9"/>
    <w:rsid w:val="005E5709"/>
    <w:rsid w:val="005E6F6A"/>
    <w:rsid w:val="005F1389"/>
    <w:rsid w:val="005F235D"/>
    <w:rsid w:val="005F2591"/>
    <w:rsid w:val="005F2812"/>
    <w:rsid w:val="005F5AAA"/>
    <w:rsid w:val="005F72A2"/>
    <w:rsid w:val="006048DD"/>
    <w:rsid w:val="00612028"/>
    <w:rsid w:val="006128C9"/>
    <w:rsid w:val="00612DD2"/>
    <w:rsid w:val="006134DF"/>
    <w:rsid w:val="006156B0"/>
    <w:rsid w:val="0062038D"/>
    <w:rsid w:val="00621DE5"/>
    <w:rsid w:val="00624163"/>
    <w:rsid w:val="00626958"/>
    <w:rsid w:val="00631180"/>
    <w:rsid w:val="00635C8E"/>
    <w:rsid w:val="00635ED0"/>
    <w:rsid w:val="00636590"/>
    <w:rsid w:val="00636649"/>
    <w:rsid w:val="00636984"/>
    <w:rsid w:val="00636CDD"/>
    <w:rsid w:val="00640C6C"/>
    <w:rsid w:val="00643BC0"/>
    <w:rsid w:val="006441EE"/>
    <w:rsid w:val="00644E8E"/>
    <w:rsid w:val="00644FDD"/>
    <w:rsid w:val="006453D0"/>
    <w:rsid w:val="00645A41"/>
    <w:rsid w:val="00647D1A"/>
    <w:rsid w:val="00650BBE"/>
    <w:rsid w:val="0065247F"/>
    <w:rsid w:val="006549AD"/>
    <w:rsid w:val="006624E5"/>
    <w:rsid w:val="006652D6"/>
    <w:rsid w:val="00667EC8"/>
    <w:rsid w:val="00673120"/>
    <w:rsid w:val="00673716"/>
    <w:rsid w:val="006833C8"/>
    <w:rsid w:val="00685384"/>
    <w:rsid w:val="006905B2"/>
    <w:rsid w:val="006913F5"/>
    <w:rsid w:val="0069363C"/>
    <w:rsid w:val="006942F5"/>
    <w:rsid w:val="006965F9"/>
    <w:rsid w:val="00697874"/>
    <w:rsid w:val="006A18C1"/>
    <w:rsid w:val="006A201E"/>
    <w:rsid w:val="006B028D"/>
    <w:rsid w:val="006B0D41"/>
    <w:rsid w:val="006B7766"/>
    <w:rsid w:val="006B7BED"/>
    <w:rsid w:val="006C039E"/>
    <w:rsid w:val="006C3219"/>
    <w:rsid w:val="006C5829"/>
    <w:rsid w:val="006C5C8D"/>
    <w:rsid w:val="006C613C"/>
    <w:rsid w:val="006D0FD5"/>
    <w:rsid w:val="006D1503"/>
    <w:rsid w:val="006D6900"/>
    <w:rsid w:val="006D76E7"/>
    <w:rsid w:val="006E087B"/>
    <w:rsid w:val="006E506D"/>
    <w:rsid w:val="006E52D3"/>
    <w:rsid w:val="006F299A"/>
    <w:rsid w:val="006F36EA"/>
    <w:rsid w:val="006F3E95"/>
    <w:rsid w:val="007010C0"/>
    <w:rsid w:val="007034CE"/>
    <w:rsid w:val="00704BC0"/>
    <w:rsid w:val="00707452"/>
    <w:rsid w:val="007075BF"/>
    <w:rsid w:val="00711773"/>
    <w:rsid w:val="00711EAE"/>
    <w:rsid w:val="00711EC3"/>
    <w:rsid w:val="007124AE"/>
    <w:rsid w:val="007224F8"/>
    <w:rsid w:val="00722B33"/>
    <w:rsid w:val="00724087"/>
    <w:rsid w:val="00724464"/>
    <w:rsid w:val="00732485"/>
    <w:rsid w:val="0073438D"/>
    <w:rsid w:val="0073448C"/>
    <w:rsid w:val="00734790"/>
    <w:rsid w:val="007428D2"/>
    <w:rsid w:val="00743A94"/>
    <w:rsid w:val="007524A1"/>
    <w:rsid w:val="007557D2"/>
    <w:rsid w:val="007558A0"/>
    <w:rsid w:val="00755CC7"/>
    <w:rsid w:val="0075604E"/>
    <w:rsid w:val="00756E9B"/>
    <w:rsid w:val="00760A50"/>
    <w:rsid w:val="00763406"/>
    <w:rsid w:val="0076413F"/>
    <w:rsid w:val="007643B1"/>
    <w:rsid w:val="00765550"/>
    <w:rsid w:val="0076595F"/>
    <w:rsid w:val="0076655C"/>
    <w:rsid w:val="00766A51"/>
    <w:rsid w:val="00776483"/>
    <w:rsid w:val="00780F57"/>
    <w:rsid w:val="007816C4"/>
    <w:rsid w:val="00783164"/>
    <w:rsid w:val="0078718D"/>
    <w:rsid w:val="0079013A"/>
    <w:rsid w:val="007912CD"/>
    <w:rsid w:val="00792378"/>
    <w:rsid w:val="0079587B"/>
    <w:rsid w:val="007A08FC"/>
    <w:rsid w:val="007A14A6"/>
    <w:rsid w:val="007A14FC"/>
    <w:rsid w:val="007A5E1D"/>
    <w:rsid w:val="007B1D46"/>
    <w:rsid w:val="007B2989"/>
    <w:rsid w:val="007B5DFF"/>
    <w:rsid w:val="007B796B"/>
    <w:rsid w:val="007C13BD"/>
    <w:rsid w:val="007C36F8"/>
    <w:rsid w:val="007C6F0C"/>
    <w:rsid w:val="007C754F"/>
    <w:rsid w:val="007D0D48"/>
    <w:rsid w:val="007D1BE2"/>
    <w:rsid w:val="007D3A44"/>
    <w:rsid w:val="007D403A"/>
    <w:rsid w:val="007D4238"/>
    <w:rsid w:val="007D46D2"/>
    <w:rsid w:val="007D5765"/>
    <w:rsid w:val="007D6932"/>
    <w:rsid w:val="007E1BD5"/>
    <w:rsid w:val="007E260E"/>
    <w:rsid w:val="007E29BC"/>
    <w:rsid w:val="007E4789"/>
    <w:rsid w:val="007E4C73"/>
    <w:rsid w:val="007E566C"/>
    <w:rsid w:val="007E5EB6"/>
    <w:rsid w:val="007E6234"/>
    <w:rsid w:val="007E6F35"/>
    <w:rsid w:val="007E78C5"/>
    <w:rsid w:val="007E7DE3"/>
    <w:rsid w:val="007F1707"/>
    <w:rsid w:val="007F2E93"/>
    <w:rsid w:val="007F57A6"/>
    <w:rsid w:val="007F6DCD"/>
    <w:rsid w:val="008005BC"/>
    <w:rsid w:val="008008E4"/>
    <w:rsid w:val="00805E3C"/>
    <w:rsid w:val="00807DCD"/>
    <w:rsid w:val="0081392A"/>
    <w:rsid w:val="008155EB"/>
    <w:rsid w:val="00815B81"/>
    <w:rsid w:val="0081798E"/>
    <w:rsid w:val="00820CF4"/>
    <w:rsid w:val="00820D1B"/>
    <w:rsid w:val="00821552"/>
    <w:rsid w:val="00823B36"/>
    <w:rsid w:val="00823C68"/>
    <w:rsid w:val="00824AE1"/>
    <w:rsid w:val="00826ADC"/>
    <w:rsid w:val="0083277C"/>
    <w:rsid w:val="00833905"/>
    <w:rsid w:val="008369CE"/>
    <w:rsid w:val="00842FC2"/>
    <w:rsid w:val="00847014"/>
    <w:rsid w:val="008552B6"/>
    <w:rsid w:val="008560DB"/>
    <w:rsid w:val="00856E63"/>
    <w:rsid w:val="00861F22"/>
    <w:rsid w:val="00863D79"/>
    <w:rsid w:val="00866C47"/>
    <w:rsid w:val="008674E8"/>
    <w:rsid w:val="008700CC"/>
    <w:rsid w:val="00872F23"/>
    <w:rsid w:val="00872FC3"/>
    <w:rsid w:val="0087400D"/>
    <w:rsid w:val="008818E5"/>
    <w:rsid w:val="00882B42"/>
    <w:rsid w:val="0088718D"/>
    <w:rsid w:val="00890328"/>
    <w:rsid w:val="00891160"/>
    <w:rsid w:val="008928DA"/>
    <w:rsid w:val="00893236"/>
    <w:rsid w:val="008944B5"/>
    <w:rsid w:val="00895863"/>
    <w:rsid w:val="00896317"/>
    <w:rsid w:val="00897F4F"/>
    <w:rsid w:val="008A0A08"/>
    <w:rsid w:val="008A1E5A"/>
    <w:rsid w:val="008A4B45"/>
    <w:rsid w:val="008A6BE5"/>
    <w:rsid w:val="008A7795"/>
    <w:rsid w:val="008B794D"/>
    <w:rsid w:val="008B7AB9"/>
    <w:rsid w:val="008B7E90"/>
    <w:rsid w:val="008C12DA"/>
    <w:rsid w:val="008C13FE"/>
    <w:rsid w:val="008C3BF9"/>
    <w:rsid w:val="008C6AA2"/>
    <w:rsid w:val="008D0C2C"/>
    <w:rsid w:val="008D1262"/>
    <w:rsid w:val="008D1F6B"/>
    <w:rsid w:val="008D52CB"/>
    <w:rsid w:val="008D77DE"/>
    <w:rsid w:val="008E12C8"/>
    <w:rsid w:val="008E20DE"/>
    <w:rsid w:val="008E2483"/>
    <w:rsid w:val="008E2DEB"/>
    <w:rsid w:val="008E2EF4"/>
    <w:rsid w:val="008E3CDA"/>
    <w:rsid w:val="008E5C43"/>
    <w:rsid w:val="008F50EB"/>
    <w:rsid w:val="008F71F8"/>
    <w:rsid w:val="008F7BE6"/>
    <w:rsid w:val="009055FC"/>
    <w:rsid w:val="009056B2"/>
    <w:rsid w:val="00906672"/>
    <w:rsid w:val="00911959"/>
    <w:rsid w:val="00912FAF"/>
    <w:rsid w:val="00914D7B"/>
    <w:rsid w:val="009170DF"/>
    <w:rsid w:val="009205D1"/>
    <w:rsid w:val="00920C1F"/>
    <w:rsid w:val="00921A4A"/>
    <w:rsid w:val="00921ED1"/>
    <w:rsid w:val="009222CE"/>
    <w:rsid w:val="0092578B"/>
    <w:rsid w:val="00925DD1"/>
    <w:rsid w:val="0092779D"/>
    <w:rsid w:val="009307CC"/>
    <w:rsid w:val="00931123"/>
    <w:rsid w:val="00933808"/>
    <w:rsid w:val="00935163"/>
    <w:rsid w:val="00937919"/>
    <w:rsid w:val="009379C5"/>
    <w:rsid w:val="00937A77"/>
    <w:rsid w:val="00943BA6"/>
    <w:rsid w:val="009446BA"/>
    <w:rsid w:val="009500AC"/>
    <w:rsid w:val="00952F28"/>
    <w:rsid w:val="00953930"/>
    <w:rsid w:val="009543FA"/>
    <w:rsid w:val="00955F4C"/>
    <w:rsid w:val="00956273"/>
    <w:rsid w:val="0095716E"/>
    <w:rsid w:val="0095775F"/>
    <w:rsid w:val="00965B2F"/>
    <w:rsid w:val="009668D1"/>
    <w:rsid w:val="00967E95"/>
    <w:rsid w:val="009724E0"/>
    <w:rsid w:val="00973CF9"/>
    <w:rsid w:val="00976CF8"/>
    <w:rsid w:val="00980D0B"/>
    <w:rsid w:val="00982991"/>
    <w:rsid w:val="00983351"/>
    <w:rsid w:val="00984744"/>
    <w:rsid w:val="00986C19"/>
    <w:rsid w:val="009875C4"/>
    <w:rsid w:val="00990C74"/>
    <w:rsid w:val="009913C6"/>
    <w:rsid w:val="009917F6"/>
    <w:rsid w:val="00991E00"/>
    <w:rsid w:val="00993469"/>
    <w:rsid w:val="0099581D"/>
    <w:rsid w:val="0099761E"/>
    <w:rsid w:val="009A6340"/>
    <w:rsid w:val="009A6C56"/>
    <w:rsid w:val="009A7B0F"/>
    <w:rsid w:val="009B0FB3"/>
    <w:rsid w:val="009B36DD"/>
    <w:rsid w:val="009B3926"/>
    <w:rsid w:val="009B7F45"/>
    <w:rsid w:val="009C0B98"/>
    <w:rsid w:val="009C1506"/>
    <w:rsid w:val="009C1F84"/>
    <w:rsid w:val="009C270D"/>
    <w:rsid w:val="009C2AA1"/>
    <w:rsid w:val="009C5187"/>
    <w:rsid w:val="009C5A94"/>
    <w:rsid w:val="009D26C5"/>
    <w:rsid w:val="009D2B70"/>
    <w:rsid w:val="009D2BE3"/>
    <w:rsid w:val="009D4E5A"/>
    <w:rsid w:val="009D7508"/>
    <w:rsid w:val="009E02BF"/>
    <w:rsid w:val="009E142F"/>
    <w:rsid w:val="009E3AF9"/>
    <w:rsid w:val="009E4BDD"/>
    <w:rsid w:val="009F0C35"/>
    <w:rsid w:val="009F2D5B"/>
    <w:rsid w:val="009F3860"/>
    <w:rsid w:val="009F47BA"/>
    <w:rsid w:val="00A00903"/>
    <w:rsid w:val="00A00FC1"/>
    <w:rsid w:val="00A01275"/>
    <w:rsid w:val="00A041F9"/>
    <w:rsid w:val="00A052F4"/>
    <w:rsid w:val="00A07C08"/>
    <w:rsid w:val="00A07EF6"/>
    <w:rsid w:val="00A1288E"/>
    <w:rsid w:val="00A14C41"/>
    <w:rsid w:val="00A16D2F"/>
    <w:rsid w:val="00A223F1"/>
    <w:rsid w:val="00A2267D"/>
    <w:rsid w:val="00A23A03"/>
    <w:rsid w:val="00A263DB"/>
    <w:rsid w:val="00A268A9"/>
    <w:rsid w:val="00A270CD"/>
    <w:rsid w:val="00A27145"/>
    <w:rsid w:val="00A31E76"/>
    <w:rsid w:val="00A325BD"/>
    <w:rsid w:val="00A3576F"/>
    <w:rsid w:val="00A37C0A"/>
    <w:rsid w:val="00A37E97"/>
    <w:rsid w:val="00A45E1F"/>
    <w:rsid w:val="00A4606E"/>
    <w:rsid w:val="00A52061"/>
    <w:rsid w:val="00A56644"/>
    <w:rsid w:val="00A633C0"/>
    <w:rsid w:val="00A63D1C"/>
    <w:rsid w:val="00A66158"/>
    <w:rsid w:val="00A6717E"/>
    <w:rsid w:val="00A6746B"/>
    <w:rsid w:val="00A7231A"/>
    <w:rsid w:val="00A72CE3"/>
    <w:rsid w:val="00A732C7"/>
    <w:rsid w:val="00A73954"/>
    <w:rsid w:val="00A73D00"/>
    <w:rsid w:val="00A743FC"/>
    <w:rsid w:val="00A75FB2"/>
    <w:rsid w:val="00A77857"/>
    <w:rsid w:val="00A80207"/>
    <w:rsid w:val="00A80751"/>
    <w:rsid w:val="00A813F0"/>
    <w:rsid w:val="00A8197D"/>
    <w:rsid w:val="00A824BE"/>
    <w:rsid w:val="00A84F43"/>
    <w:rsid w:val="00A86C5B"/>
    <w:rsid w:val="00A87D9F"/>
    <w:rsid w:val="00AA167C"/>
    <w:rsid w:val="00AA2555"/>
    <w:rsid w:val="00AA4706"/>
    <w:rsid w:val="00AA6844"/>
    <w:rsid w:val="00AB10D1"/>
    <w:rsid w:val="00AC11F5"/>
    <w:rsid w:val="00AC2FD5"/>
    <w:rsid w:val="00AC3345"/>
    <w:rsid w:val="00AC4E46"/>
    <w:rsid w:val="00AC7751"/>
    <w:rsid w:val="00AD1CE6"/>
    <w:rsid w:val="00AD567B"/>
    <w:rsid w:val="00AD58D7"/>
    <w:rsid w:val="00AD5F75"/>
    <w:rsid w:val="00AD7A7F"/>
    <w:rsid w:val="00AE0AFC"/>
    <w:rsid w:val="00AE158D"/>
    <w:rsid w:val="00AE3F72"/>
    <w:rsid w:val="00AE69AF"/>
    <w:rsid w:val="00AE6FF4"/>
    <w:rsid w:val="00AE7345"/>
    <w:rsid w:val="00AE7B9E"/>
    <w:rsid w:val="00AF130E"/>
    <w:rsid w:val="00AF642A"/>
    <w:rsid w:val="00AF6CA1"/>
    <w:rsid w:val="00B04429"/>
    <w:rsid w:val="00B047C4"/>
    <w:rsid w:val="00B062E6"/>
    <w:rsid w:val="00B06770"/>
    <w:rsid w:val="00B07DD7"/>
    <w:rsid w:val="00B105F9"/>
    <w:rsid w:val="00B11152"/>
    <w:rsid w:val="00B11AEE"/>
    <w:rsid w:val="00B13D30"/>
    <w:rsid w:val="00B21409"/>
    <w:rsid w:val="00B2434F"/>
    <w:rsid w:val="00B252E4"/>
    <w:rsid w:val="00B257EB"/>
    <w:rsid w:val="00B2704A"/>
    <w:rsid w:val="00B30F7D"/>
    <w:rsid w:val="00B31B4F"/>
    <w:rsid w:val="00B33EAB"/>
    <w:rsid w:val="00B35E28"/>
    <w:rsid w:val="00B40DBA"/>
    <w:rsid w:val="00B44313"/>
    <w:rsid w:val="00B45405"/>
    <w:rsid w:val="00B45585"/>
    <w:rsid w:val="00B46E76"/>
    <w:rsid w:val="00B53737"/>
    <w:rsid w:val="00B53CD5"/>
    <w:rsid w:val="00B541D4"/>
    <w:rsid w:val="00B56F86"/>
    <w:rsid w:val="00B6061E"/>
    <w:rsid w:val="00B61535"/>
    <w:rsid w:val="00B62F63"/>
    <w:rsid w:val="00B64FDF"/>
    <w:rsid w:val="00B657CD"/>
    <w:rsid w:val="00B715AB"/>
    <w:rsid w:val="00B728DE"/>
    <w:rsid w:val="00B749F8"/>
    <w:rsid w:val="00B759CD"/>
    <w:rsid w:val="00B75FBF"/>
    <w:rsid w:val="00B77DAB"/>
    <w:rsid w:val="00B83B90"/>
    <w:rsid w:val="00B8468F"/>
    <w:rsid w:val="00B854A9"/>
    <w:rsid w:val="00B86194"/>
    <w:rsid w:val="00B9662E"/>
    <w:rsid w:val="00B972E0"/>
    <w:rsid w:val="00BA24D2"/>
    <w:rsid w:val="00BA4E3E"/>
    <w:rsid w:val="00BA6E14"/>
    <w:rsid w:val="00BA7A1E"/>
    <w:rsid w:val="00BB0230"/>
    <w:rsid w:val="00BB0AC2"/>
    <w:rsid w:val="00BB2AF9"/>
    <w:rsid w:val="00BB4980"/>
    <w:rsid w:val="00BB67C1"/>
    <w:rsid w:val="00BB73B6"/>
    <w:rsid w:val="00BB776B"/>
    <w:rsid w:val="00BC07F9"/>
    <w:rsid w:val="00BC15C9"/>
    <w:rsid w:val="00BC20E7"/>
    <w:rsid w:val="00BC36C9"/>
    <w:rsid w:val="00BC4FD5"/>
    <w:rsid w:val="00BD2820"/>
    <w:rsid w:val="00BD3AE6"/>
    <w:rsid w:val="00BD4EE6"/>
    <w:rsid w:val="00BE0222"/>
    <w:rsid w:val="00BE1DEE"/>
    <w:rsid w:val="00BE59A9"/>
    <w:rsid w:val="00BE5DCC"/>
    <w:rsid w:val="00BE5EEC"/>
    <w:rsid w:val="00BE7B64"/>
    <w:rsid w:val="00BF00CD"/>
    <w:rsid w:val="00BF10E3"/>
    <w:rsid w:val="00BF2FE0"/>
    <w:rsid w:val="00BF528C"/>
    <w:rsid w:val="00C00286"/>
    <w:rsid w:val="00C00995"/>
    <w:rsid w:val="00C019B4"/>
    <w:rsid w:val="00C042CC"/>
    <w:rsid w:val="00C05407"/>
    <w:rsid w:val="00C05945"/>
    <w:rsid w:val="00C07005"/>
    <w:rsid w:val="00C1354C"/>
    <w:rsid w:val="00C13D12"/>
    <w:rsid w:val="00C16A50"/>
    <w:rsid w:val="00C217D6"/>
    <w:rsid w:val="00C21919"/>
    <w:rsid w:val="00C22A3B"/>
    <w:rsid w:val="00C24E4B"/>
    <w:rsid w:val="00C27333"/>
    <w:rsid w:val="00C27CEF"/>
    <w:rsid w:val="00C30A69"/>
    <w:rsid w:val="00C3283A"/>
    <w:rsid w:val="00C3387B"/>
    <w:rsid w:val="00C3509D"/>
    <w:rsid w:val="00C35E64"/>
    <w:rsid w:val="00C361C4"/>
    <w:rsid w:val="00C4024D"/>
    <w:rsid w:val="00C411C8"/>
    <w:rsid w:val="00C4158D"/>
    <w:rsid w:val="00C41E09"/>
    <w:rsid w:val="00C41FDB"/>
    <w:rsid w:val="00C42FB4"/>
    <w:rsid w:val="00C4437B"/>
    <w:rsid w:val="00C44EFB"/>
    <w:rsid w:val="00C451A9"/>
    <w:rsid w:val="00C46FD9"/>
    <w:rsid w:val="00C475E3"/>
    <w:rsid w:val="00C51859"/>
    <w:rsid w:val="00C529FE"/>
    <w:rsid w:val="00C52FA0"/>
    <w:rsid w:val="00C5445E"/>
    <w:rsid w:val="00C54EE1"/>
    <w:rsid w:val="00C62AFA"/>
    <w:rsid w:val="00C62DD8"/>
    <w:rsid w:val="00C62DE9"/>
    <w:rsid w:val="00C6386B"/>
    <w:rsid w:val="00C678C7"/>
    <w:rsid w:val="00C70218"/>
    <w:rsid w:val="00C70F9A"/>
    <w:rsid w:val="00C712F6"/>
    <w:rsid w:val="00C7311C"/>
    <w:rsid w:val="00C73981"/>
    <w:rsid w:val="00C73D53"/>
    <w:rsid w:val="00C751D4"/>
    <w:rsid w:val="00C84FD6"/>
    <w:rsid w:val="00C8598C"/>
    <w:rsid w:val="00C85E64"/>
    <w:rsid w:val="00C86B1E"/>
    <w:rsid w:val="00C87EED"/>
    <w:rsid w:val="00C93709"/>
    <w:rsid w:val="00C94D48"/>
    <w:rsid w:val="00C95359"/>
    <w:rsid w:val="00C95D3E"/>
    <w:rsid w:val="00C96447"/>
    <w:rsid w:val="00C971DC"/>
    <w:rsid w:val="00C978DB"/>
    <w:rsid w:val="00CA02B1"/>
    <w:rsid w:val="00CA139C"/>
    <w:rsid w:val="00CA6E36"/>
    <w:rsid w:val="00CB2563"/>
    <w:rsid w:val="00CB69D4"/>
    <w:rsid w:val="00CB725B"/>
    <w:rsid w:val="00CC0F11"/>
    <w:rsid w:val="00CC1C41"/>
    <w:rsid w:val="00CC217A"/>
    <w:rsid w:val="00CC60ED"/>
    <w:rsid w:val="00CC6A55"/>
    <w:rsid w:val="00CC6CEF"/>
    <w:rsid w:val="00CD4D93"/>
    <w:rsid w:val="00CD6C2A"/>
    <w:rsid w:val="00CE1CC6"/>
    <w:rsid w:val="00CE3047"/>
    <w:rsid w:val="00CE4C45"/>
    <w:rsid w:val="00CE5558"/>
    <w:rsid w:val="00CE64DA"/>
    <w:rsid w:val="00CF0080"/>
    <w:rsid w:val="00CF0C9D"/>
    <w:rsid w:val="00CF3E97"/>
    <w:rsid w:val="00CF4217"/>
    <w:rsid w:val="00CF4B1C"/>
    <w:rsid w:val="00D0068E"/>
    <w:rsid w:val="00D00E19"/>
    <w:rsid w:val="00D01FB7"/>
    <w:rsid w:val="00D02B2D"/>
    <w:rsid w:val="00D106F9"/>
    <w:rsid w:val="00D10C89"/>
    <w:rsid w:val="00D11883"/>
    <w:rsid w:val="00D12D67"/>
    <w:rsid w:val="00D13F96"/>
    <w:rsid w:val="00D15F05"/>
    <w:rsid w:val="00D2106A"/>
    <w:rsid w:val="00D211B6"/>
    <w:rsid w:val="00D225A9"/>
    <w:rsid w:val="00D229D6"/>
    <w:rsid w:val="00D2465D"/>
    <w:rsid w:val="00D262DB"/>
    <w:rsid w:val="00D267BF"/>
    <w:rsid w:val="00D31D06"/>
    <w:rsid w:val="00D327B0"/>
    <w:rsid w:val="00D32832"/>
    <w:rsid w:val="00D404F0"/>
    <w:rsid w:val="00D40683"/>
    <w:rsid w:val="00D415F7"/>
    <w:rsid w:val="00D44E73"/>
    <w:rsid w:val="00D52FC2"/>
    <w:rsid w:val="00D62BE7"/>
    <w:rsid w:val="00D6629B"/>
    <w:rsid w:val="00D71CA6"/>
    <w:rsid w:val="00D71CDA"/>
    <w:rsid w:val="00D721C9"/>
    <w:rsid w:val="00D72799"/>
    <w:rsid w:val="00D72BB0"/>
    <w:rsid w:val="00D73321"/>
    <w:rsid w:val="00D73338"/>
    <w:rsid w:val="00D750C9"/>
    <w:rsid w:val="00D7574A"/>
    <w:rsid w:val="00D765F6"/>
    <w:rsid w:val="00D8388D"/>
    <w:rsid w:val="00D8458E"/>
    <w:rsid w:val="00D85B39"/>
    <w:rsid w:val="00D85FB2"/>
    <w:rsid w:val="00D86E95"/>
    <w:rsid w:val="00D915C0"/>
    <w:rsid w:val="00D960F2"/>
    <w:rsid w:val="00D9709E"/>
    <w:rsid w:val="00D9727C"/>
    <w:rsid w:val="00D974A8"/>
    <w:rsid w:val="00DA05BE"/>
    <w:rsid w:val="00DA0D09"/>
    <w:rsid w:val="00DA226D"/>
    <w:rsid w:val="00DA3546"/>
    <w:rsid w:val="00DA4DA2"/>
    <w:rsid w:val="00DA64BD"/>
    <w:rsid w:val="00DB0800"/>
    <w:rsid w:val="00DB3BE8"/>
    <w:rsid w:val="00DB4176"/>
    <w:rsid w:val="00DB4FEF"/>
    <w:rsid w:val="00DB5A0B"/>
    <w:rsid w:val="00DB6235"/>
    <w:rsid w:val="00DC1589"/>
    <w:rsid w:val="00DC1FAB"/>
    <w:rsid w:val="00DC4794"/>
    <w:rsid w:val="00DC6AF1"/>
    <w:rsid w:val="00DC742A"/>
    <w:rsid w:val="00DD20C8"/>
    <w:rsid w:val="00DD271B"/>
    <w:rsid w:val="00DD3CC8"/>
    <w:rsid w:val="00DD4004"/>
    <w:rsid w:val="00DD405F"/>
    <w:rsid w:val="00DD6E5D"/>
    <w:rsid w:val="00DE0BCB"/>
    <w:rsid w:val="00DE2218"/>
    <w:rsid w:val="00DE4051"/>
    <w:rsid w:val="00DE5518"/>
    <w:rsid w:val="00DE5A53"/>
    <w:rsid w:val="00DF05C9"/>
    <w:rsid w:val="00DF32F1"/>
    <w:rsid w:val="00DF3666"/>
    <w:rsid w:val="00DF4788"/>
    <w:rsid w:val="00DF574F"/>
    <w:rsid w:val="00E004F5"/>
    <w:rsid w:val="00E022A9"/>
    <w:rsid w:val="00E024FE"/>
    <w:rsid w:val="00E032BB"/>
    <w:rsid w:val="00E04B75"/>
    <w:rsid w:val="00E0542B"/>
    <w:rsid w:val="00E06FD0"/>
    <w:rsid w:val="00E07252"/>
    <w:rsid w:val="00E07FC6"/>
    <w:rsid w:val="00E10412"/>
    <w:rsid w:val="00E14462"/>
    <w:rsid w:val="00E14814"/>
    <w:rsid w:val="00E161F3"/>
    <w:rsid w:val="00E21C4A"/>
    <w:rsid w:val="00E25627"/>
    <w:rsid w:val="00E26295"/>
    <w:rsid w:val="00E34F63"/>
    <w:rsid w:val="00E35697"/>
    <w:rsid w:val="00E36685"/>
    <w:rsid w:val="00E36AD4"/>
    <w:rsid w:val="00E3708A"/>
    <w:rsid w:val="00E402A9"/>
    <w:rsid w:val="00E40B08"/>
    <w:rsid w:val="00E43207"/>
    <w:rsid w:val="00E43539"/>
    <w:rsid w:val="00E44359"/>
    <w:rsid w:val="00E44C62"/>
    <w:rsid w:val="00E46B5B"/>
    <w:rsid w:val="00E5513C"/>
    <w:rsid w:val="00E561FB"/>
    <w:rsid w:val="00E564BE"/>
    <w:rsid w:val="00E57E0E"/>
    <w:rsid w:val="00E6027C"/>
    <w:rsid w:val="00E6038A"/>
    <w:rsid w:val="00E617C3"/>
    <w:rsid w:val="00E62524"/>
    <w:rsid w:val="00E63D8A"/>
    <w:rsid w:val="00E64596"/>
    <w:rsid w:val="00E67FC2"/>
    <w:rsid w:val="00E7171A"/>
    <w:rsid w:val="00E71F6A"/>
    <w:rsid w:val="00E72684"/>
    <w:rsid w:val="00E7410F"/>
    <w:rsid w:val="00E76791"/>
    <w:rsid w:val="00E807BF"/>
    <w:rsid w:val="00E818A7"/>
    <w:rsid w:val="00E82019"/>
    <w:rsid w:val="00E84985"/>
    <w:rsid w:val="00E90616"/>
    <w:rsid w:val="00E90D39"/>
    <w:rsid w:val="00E93966"/>
    <w:rsid w:val="00E94C76"/>
    <w:rsid w:val="00E94D46"/>
    <w:rsid w:val="00EA2C25"/>
    <w:rsid w:val="00EA5A59"/>
    <w:rsid w:val="00EA7C89"/>
    <w:rsid w:val="00EB052A"/>
    <w:rsid w:val="00EB2357"/>
    <w:rsid w:val="00EB6ED2"/>
    <w:rsid w:val="00EC2617"/>
    <w:rsid w:val="00EC31A5"/>
    <w:rsid w:val="00EC36ED"/>
    <w:rsid w:val="00ED3F14"/>
    <w:rsid w:val="00ED41FA"/>
    <w:rsid w:val="00ED4BD7"/>
    <w:rsid w:val="00ED575A"/>
    <w:rsid w:val="00EE142B"/>
    <w:rsid w:val="00EE2E07"/>
    <w:rsid w:val="00EE3B4F"/>
    <w:rsid w:val="00EE5C44"/>
    <w:rsid w:val="00EE619A"/>
    <w:rsid w:val="00EF298D"/>
    <w:rsid w:val="00EF3B45"/>
    <w:rsid w:val="00EF4AA3"/>
    <w:rsid w:val="00EF7B94"/>
    <w:rsid w:val="00F03516"/>
    <w:rsid w:val="00F04110"/>
    <w:rsid w:val="00F04441"/>
    <w:rsid w:val="00F0471D"/>
    <w:rsid w:val="00F05829"/>
    <w:rsid w:val="00F05E9C"/>
    <w:rsid w:val="00F12948"/>
    <w:rsid w:val="00F13E22"/>
    <w:rsid w:val="00F14BED"/>
    <w:rsid w:val="00F15CAC"/>
    <w:rsid w:val="00F31EE5"/>
    <w:rsid w:val="00F34DA7"/>
    <w:rsid w:val="00F352E7"/>
    <w:rsid w:val="00F40E98"/>
    <w:rsid w:val="00F41E47"/>
    <w:rsid w:val="00F4447D"/>
    <w:rsid w:val="00F46146"/>
    <w:rsid w:val="00F469D1"/>
    <w:rsid w:val="00F50F67"/>
    <w:rsid w:val="00F53091"/>
    <w:rsid w:val="00F53224"/>
    <w:rsid w:val="00F560AF"/>
    <w:rsid w:val="00F6356F"/>
    <w:rsid w:val="00F639CC"/>
    <w:rsid w:val="00F65046"/>
    <w:rsid w:val="00F6644C"/>
    <w:rsid w:val="00F67B8F"/>
    <w:rsid w:val="00F70496"/>
    <w:rsid w:val="00F71920"/>
    <w:rsid w:val="00F7239D"/>
    <w:rsid w:val="00F72958"/>
    <w:rsid w:val="00F741EC"/>
    <w:rsid w:val="00F7519C"/>
    <w:rsid w:val="00F75737"/>
    <w:rsid w:val="00F75E9E"/>
    <w:rsid w:val="00F76149"/>
    <w:rsid w:val="00F77EFD"/>
    <w:rsid w:val="00F80C74"/>
    <w:rsid w:val="00F82376"/>
    <w:rsid w:val="00F845BB"/>
    <w:rsid w:val="00F84DC2"/>
    <w:rsid w:val="00F85404"/>
    <w:rsid w:val="00F86857"/>
    <w:rsid w:val="00F869E0"/>
    <w:rsid w:val="00F932E7"/>
    <w:rsid w:val="00FA2A66"/>
    <w:rsid w:val="00FA473F"/>
    <w:rsid w:val="00FB1183"/>
    <w:rsid w:val="00FB2A1F"/>
    <w:rsid w:val="00FB4868"/>
    <w:rsid w:val="00FB4CA4"/>
    <w:rsid w:val="00FB7AB7"/>
    <w:rsid w:val="00FC0769"/>
    <w:rsid w:val="00FC0929"/>
    <w:rsid w:val="00FC0E1A"/>
    <w:rsid w:val="00FC0EAA"/>
    <w:rsid w:val="00FC29CE"/>
    <w:rsid w:val="00FC35A7"/>
    <w:rsid w:val="00FC3BA5"/>
    <w:rsid w:val="00FC7A7E"/>
    <w:rsid w:val="00FD0809"/>
    <w:rsid w:val="00FD1523"/>
    <w:rsid w:val="00FD290C"/>
    <w:rsid w:val="00FD34EF"/>
    <w:rsid w:val="00FD71C0"/>
    <w:rsid w:val="00FE0511"/>
    <w:rsid w:val="00FE06B8"/>
    <w:rsid w:val="00FE22B8"/>
    <w:rsid w:val="00FE3AE9"/>
    <w:rsid w:val="00FE4B72"/>
    <w:rsid w:val="00FE4E05"/>
    <w:rsid w:val="00FE510C"/>
    <w:rsid w:val="00FE5846"/>
    <w:rsid w:val="00FE6237"/>
    <w:rsid w:val="00FF15F4"/>
    <w:rsid w:val="00FF277C"/>
    <w:rsid w:val="00FF30F1"/>
    <w:rsid w:val="00FF33A1"/>
    <w:rsid w:val="00FF5946"/>
    <w:rsid w:val="00FF6DE9"/>
    <w:rsid w:val="00FF78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C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171A"/>
    <w:pPr>
      <w:spacing w:after="0" w:line="240" w:lineRule="auto"/>
      <w:ind w:firstLine="360"/>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0461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qFormat/>
    <w:rsid w:val="00E7171A"/>
    <w:pPr>
      <w:pBdr>
        <w:bottom w:val="single" w:sz="8" w:space="1" w:color="4F81BD"/>
      </w:pBdr>
      <w:spacing w:before="200" w:after="80"/>
      <w:ind w:firstLine="0"/>
      <w:outlineLvl w:val="1"/>
    </w:pPr>
    <w:rPr>
      <w:rFonts w:ascii="Cambria" w:hAnsi="Cambria"/>
      <w:color w:val="365F9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7171A"/>
    <w:rPr>
      <w:rFonts w:ascii="Cambria" w:eastAsia="Times New Roman" w:hAnsi="Cambria" w:cs="Times New Roman"/>
      <w:color w:val="365F91"/>
      <w:sz w:val="24"/>
      <w:szCs w:val="24"/>
      <w:lang w:eastAsia="it-IT"/>
    </w:rPr>
  </w:style>
  <w:style w:type="paragraph" w:styleId="Paragrafoelenco">
    <w:name w:val="List Paragraph"/>
    <w:basedOn w:val="Normale"/>
    <w:uiPriority w:val="34"/>
    <w:qFormat/>
    <w:rsid w:val="00E7171A"/>
    <w:pPr>
      <w:ind w:left="720"/>
      <w:contextualSpacing/>
    </w:pPr>
  </w:style>
  <w:style w:type="character" w:customStyle="1" w:styleId="Titolo1Carattere">
    <w:name w:val="Titolo 1 Carattere"/>
    <w:basedOn w:val="Carpredefinitoparagrafo"/>
    <w:link w:val="Titolo1"/>
    <w:uiPriority w:val="9"/>
    <w:rsid w:val="0004610D"/>
    <w:rPr>
      <w:rFonts w:asciiTheme="majorHAnsi" w:eastAsiaTheme="majorEastAsia" w:hAnsiTheme="majorHAnsi" w:cstheme="majorBidi"/>
      <w:b/>
      <w:bCs/>
      <w:color w:val="365F91" w:themeColor="accent1" w:themeShade="BF"/>
      <w:sz w:val="28"/>
      <w:szCs w:val="28"/>
      <w:lang w:eastAsia="it-IT"/>
    </w:rPr>
  </w:style>
  <w:style w:type="character" w:styleId="Collegamentoipertestuale">
    <w:name w:val="Hyperlink"/>
    <w:basedOn w:val="Carpredefinitoparagrafo"/>
    <w:uiPriority w:val="99"/>
    <w:unhideWhenUsed/>
    <w:rsid w:val="002070BB"/>
    <w:rPr>
      <w:color w:val="0000FF"/>
      <w:u w:val="single"/>
    </w:rPr>
  </w:style>
  <w:style w:type="table" w:styleId="Grigliatabella">
    <w:name w:val="Table Grid"/>
    <w:basedOn w:val="Tabellanormale"/>
    <w:uiPriority w:val="59"/>
    <w:rsid w:val="00E43207"/>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E43207"/>
    <w:rPr>
      <w:sz w:val="20"/>
      <w:szCs w:val="20"/>
    </w:rPr>
  </w:style>
  <w:style w:type="character" w:customStyle="1" w:styleId="TestocommentoCarattere">
    <w:name w:val="Testo commento Carattere"/>
    <w:basedOn w:val="Carpredefinitoparagrafo"/>
    <w:link w:val="Testocommento"/>
    <w:uiPriority w:val="99"/>
    <w:rsid w:val="00E43207"/>
    <w:rPr>
      <w:rFonts w:ascii="Calibri" w:eastAsia="Times New Roman" w:hAnsi="Calibri" w:cs="Times New Roman"/>
      <w:sz w:val="20"/>
      <w:szCs w:val="20"/>
      <w:lang w:eastAsia="it-IT"/>
    </w:rPr>
  </w:style>
  <w:style w:type="paragraph" w:styleId="NormaleWeb">
    <w:name w:val="Normal (Web)"/>
    <w:basedOn w:val="Normale"/>
    <w:uiPriority w:val="99"/>
    <w:semiHidden/>
    <w:unhideWhenUsed/>
    <w:rsid w:val="00A270CD"/>
    <w:pPr>
      <w:spacing w:before="100" w:beforeAutospacing="1" w:after="100" w:afterAutospacing="1"/>
      <w:ind w:firstLine="0"/>
    </w:pPr>
    <w:rPr>
      <w:rFonts w:ascii="Times New Roman" w:hAnsi="Times New Roman"/>
      <w:sz w:val="24"/>
      <w:szCs w:val="24"/>
    </w:rPr>
  </w:style>
  <w:style w:type="character" w:customStyle="1" w:styleId="provvnumart">
    <w:name w:val="provv_numart"/>
    <w:basedOn w:val="Carpredefinitoparagrafo"/>
    <w:rsid w:val="00A270CD"/>
  </w:style>
  <w:style w:type="paragraph" w:customStyle="1" w:styleId="provvr0">
    <w:name w:val="provv_r0"/>
    <w:basedOn w:val="Normale"/>
    <w:rsid w:val="00A270CD"/>
    <w:pPr>
      <w:spacing w:before="100" w:beforeAutospacing="1" w:after="100" w:afterAutospacing="1"/>
      <w:ind w:firstLine="0"/>
    </w:pPr>
    <w:rPr>
      <w:rFonts w:ascii="Times New Roman" w:hAnsi="Times New Roman"/>
      <w:sz w:val="24"/>
      <w:szCs w:val="24"/>
    </w:rPr>
  </w:style>
  <w:style w:type="character" w:customStyle="1" w:styleId="provvnumcomma">
    <w:name w:val="provv_numcomma"/>
    <w:basedOn w:val="Carpredefinitoparagrafo"/>
    <w:rsid w:val="00A270CD"/>
  </w:style>
  <w:style w:type="character" w:styleId="Rimandonotaapidipagina">
    <w:name w:val="footnote reference"/>
    <w:semiHidden/>
    <w:rsid w:val="002149FA"/>
    <w:rPr>
      <w:position w:val="6"/>
    </w:rPr>
  </w:style>
  <w:style w:type="paragraph" w:styleId="Testonotaapidipagina">
    <w:name w:val="footnote text"/>
    <w:basedOn w:val="Normale"/>
    <w:link w:val="TestonotaapidipaginaCarattere"/>
    <w:semiHidden/>
    <w:rsid w:val="002149FA"/>
    <w:pPr>
      <w:ind w:firstLine="0"/>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semiHidden/>
    <w:rsid w:val="002149FA"/>
    <w:rPr>
      <w:rFonts w:ascii="Times New Roman" w:eastAsia="Times New Roman" w:hAnsi="Times New Roman" w:cs="Times New Roman"/>
      <w:sz w:val="20"/>
      <w:szCs w:val="20"/>
      <w:lang w:eastAsia="it-IT"/>
    </w:rPr>
  </w:style>
  <w:style w:type="paragraph" w:styleId="Intestazione">
    <w:name w:val="header"/>
    <w:basedOn w:val="Normale"/>
    <w:link w:val="IntestazioneCarattere"/>
    <w:unhideWhenUsed/>
    <w:rsid w:val="00B33EAB"/>
    <w:pPr>
      <w:tabs>
        <w:tab w:val="center" w:pos="4819"/>
        <w:tab w:val="right" w:pos="9638"/>
      </w:tabs>
      <w:ind w:firstLine="0"/>
    </w:pPr>
    <w:rPr>
      <w:rFonts w:ascii="Optima LT Std" w:eastAsia="Calibri" w:hAnsi="Optima LT Std"/>
      <w:sz w:val="24"/>
      <w:lang w:eastAsia="en-US"/>
    </w:rPr>
  </w:style>
  <w:style w:type="character" w:customStyle="1" w:styleId="IntestazioneCarattere">
    <w:name w:val="Intestazione Carattere"/>
    <w:basedOn w:val="Carpredefinitoparagrafo"/>
    <w:link w:val="Intestazione"/>
    <w:rsid w:val="00B33EAB"/>
    <w:rPr>
      <w:rFonts w:ascii="Optima LT Std" w:eastAsia="Calibri" w:hAnsi="Optima LT Std" w:cs="Times New Roman"/>
      <w:sz w:val="24"/>
    </w:rPr>
  </w:style>
  <w:style w:type="paragraph" w:customStyle="1" w:styleId="testo">
    <w:name w:val="testo"/>
    <w:rsid w:val="00B33EAB"/>
    <w:pPr>
      <w:spacing w:after="0" w:line="240" w:lineRule="auto"/>
      <w:ind w:firstLine="397"/>
      <w:jc w:val="both"/>
    </w:pPr>
    <w:rPr>
      <w:rFonts w:ascii="Garamond" w:eastAsia="Times New Roman" w:hAnsi="Garamond" w:cs="Times New Roman"/>
      <w:sz w:val="23"/>
      <w:szCs w:val="23"/>
      <w:lang w:eastAsia="it-IT"/>
    </w:rPr>
  </w:style>
  <w:style w:type="paragraph" w:styleId="Pidipagina">
    <w:name w:val="footer"/>
    <w:basedOn w:val="Normale"/>
    <w:link w:val="PidipaginaCarattere"/>
    <w:uiPriority w:val="99"/>
    <w:unhideWhenUsed/>
    <w:rsid w:val="00A66158"/>
    <w:pPr>
      <w:tabs>
        <w:tab w:val="center" w:pos="4819"/>
        <w:tab w:val="right" w:pos="9638"/>
      </w:tabs>
    </w:pPr>
  </w:style>
  <w:style w:type="character" w:customStyle="1" w:styleId="PidipaginaCarattere">
    <w:name w:val="Piè di pagina Carattere"/>
    <w:basedOn w:val="Carpredefinitoparagrafo"/>
    <w:link w:val="Pidipagina"/>
    <w:uiPriority w:val="99"/>
    <w:rsid w:val="00A66158"/>
    <w:rPr>
      <w:rFonts w:ascii="Calibri" w:eastAsia="Times New Roman" w:hAnsi="Calibri" w:cs="Times New Roman"/>
      <w:lang w:eastAsia="it-IT"/>
    </w:rPr>
  </w:style>
  <w:style w:type="character" w:customStyle="1" w:styleId="linkneltesto">
    <w:name w:val="link_nel_testo"/>
    <w:basedOn w:val="Carpredefinitoparagrafo"/>
    <w:rsid w:val="00EB052A"/>
  </w:style>
  <w:style w:type="paragraph" w:customStyle="1" w:styleId="Default">
    <w:name w:val="Default"/>
    <w:rsid w:val="00BA6E14"/>
    <w:pPr>
      <w:autoSpaceDE w:val="0"/>
      <w:autoSpaceDN w:val="0"/>
      <w:adjustRightInd w:val="0"/>
      <w:spacing w:after="0" w:line="240" w:lineRule="auto"/>
    </w:pPr>
    <w:rPr>
      <w:rFonts w:ascii="Garamond" w:hAnsi="Garamond" w:cs="Garamond"/>
      <w:color w:val="000000"/>
      <w:sz w:val="24"/>
      <w:szCs w:val="24"/>
    </w:rPr>
  </w:style>
  <w:style w:type="character" w:customStyle="1" w:styleId="provvrubrica">
    <w:name w:val="provv_rubrica"/>
    <w:basedOn w:val="Carpredefinitoparagrafo"/>
    <w:rsid w:val="00861F22"/>
  </w:style>
  <w:style w:type="paragraph" w:customStyle="1" w:styleId="notaneltesto">
    <w:name w:val="nota nel testo"/>
    <w:basedOn w:val="Normale"/>
    <w:rsid w:val="00E21C4A"/>
    <w:pPr>
      <w:overflowPunct w:val="0"/>
      <w:autoSpaceDE w:val="0"/>
      <w:autoSpaceDN w:val="0"/>
      <w:adjustRightInd w:val="0"/>
      <w:spacing w:before="120"/>
      <w:ind w:firstLine="284"/>
      <w:jc w:val="both"/>
      <w:textAlignment w:val="baseline"/>
    </w:pPr>
    <w:rPr>
      <w:rFonts w:ascii="Garamond" w:hAnsi="Garamond" w:cs="Garamond"/>
      <w:sz w:val="18"/>
      <w:szCs w:val="18"/>
    </w:rPr>
  </w:style>
  <w:style w:type="paragraph" w:customStyle="1" w:styleId="Corpotesto1">
    <w:name w:val="Corpo testo1"/>
    <w:basedOn w:val="Normale"/>
    <w:link w:val="Bodytext"/>
    <w:rsid w:val="00195B81"/>
    <w:pPr>
      <w:shd w:val="clear" w:color="auto" w:fill="FFFFFF"/>
      <w:spacing w:line="274" w:lineRule="exact"/>
      <w:ind w:hanging="360"/>
      <w:jc w:val="both"/>
    </w:pPr>
    <w:rPr>
      <w:rFonts w:ascii="Times New Roman" w:hAnsi="Times New Roman"/>
      <w:color w:val="000000"/>
      <w:lang w:val="x-none" w:eastAsia="x-none"/>
    </w:rPr>
  </w:style>
  <w:style w:type="character" w:customStyle="1" w:styleId="Bodytext">
    <w:name w:val="Body text_"/>
    <w:link w:val="Corpotesto1"/>
    <w:rsid w:val="00195B81"/>
    <w:rPr>
      <w:rFonts w:ascii="Times New Roman" w:eastAsia="Times New Roman" w:hAnsi="Times New Roman" w:cs="Times New Roman"/>
      <w:color w:val="000000"/>
      <w:shd w:val="clear" w:color="auto" w:fill="FFFFFF"/>
      <w:lang w:val="x-none" w:eastAsia="x-none"/>
    </w:rPr>
  </w:style>
  <w:style w:type="character" w:customStyle="1" w:styleId="Menzionenonrisolta1">
    <w:name w:val="Menzione non risolta1"/>
    <w:basedOn w:val="Carpredefinitoparagrafo"/>
    <w:uiPriority w:val="99"/>
    <w:semiHidden/>
    <w:unhideWhenUsed/>
    <w:rsid w:val="00D40683"/>
    <w:rPr>
      <w:color w:val="605E5C"/>
      <w:shd w:val="clear" w:color="auto" w:fill="E1DFDD"/>
    </w:rPr>
  </w:style>
  <w:style w:type="paragraph" w:styleId="Testofumetto">
    <w:name w:val="Balloon Text"/>
    <w:basedOn w:val="Normale"/>
    <w:link w:val="TestofumettoCarattere"/>
    <w:uiPriority w:val="99"/>
    <w:semiHidden/>
    <w:unhideWhenUsed/>
    <w:rsid w:val="00DB41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4176"/>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DB4176"/>
    <w:rPr>
      <w:sz w:val="16"/>
      <w:szCs w:val="16"/>
    </w:rPr>
  </w:style>
  <w:style w:type="paragraph" w:styleId="Soggettocommento">
    <w:name w:val="annotation subject"/>
    <w:basedOn w:val="Testocommento"/>
    <w:next w:val="Testocommento"/>
    <w:link w:val="SoggettocommentoCarattere"/>
    <w:uiPriority w:val="99"/>
    <w:semiHidden/>
    <w:unhideWhenUsed/>
    <w:rsid w:val="00DB4176"/>
    <w:rPr>
      <w:b/>
      <w:bCs/>
    </w:rPr>
  </w:style>
  <w:style w:type="character" w:customStyle="1" w:styleId="SoggettocommentoCarattere">
    <w:name w:val="Soggetto commento Carattere"/>
    <w:basedOn w:val="TestocommentoCarattere"/>
    <w:link w:val="Soggettocommento"/>
    <w:uiPriority w:val="99"/>
    <w:semiHidden/>
    <w:rsid w:val="00DB4176"/>
    <w:rPr>
      <w:rFonts w:ascii="Calibri" w:eastAsia="Times New Roman" w:hAnsi="Calibri" w:cs="Times New Roman"/>
      <w:b/>
      <w:bCs/>
      <w:sz w:val="20"/>
      <w:szCs w:val="20"/>
      <w:lang w:eastAsia="it-IT"/>
    </w:rPr>
  </w:style>
  <w:style w:type="paragraph" w:styleId="Nessunaspaziatura">
    <w:name w:val="No Spacing"/>
    <w:uiPriority w:val="1"/>
    <w:qFormat/>
    <w:rsid w:val="00DB4176"/>
    <w:pPr>
      <w:spacing w:after="0" w:line="240" w:lineRule="auto"/>
    </w:pPr>
    <w:rPr>
      <w:lang w:val="en-GB"/>
    </w:rPr>
  </w:style>
  <w:style w:type="paragraph" w:styleId="Revisione">
    <w:name w:val="Revision"/>
    <w:hidden/>
    <w:uiPriority w:val="99"/>
    <w:semiHidden/>
    <w:rsid w:val="00D6629B"/>
    <w:pPr>
      <w:spacing w:after="0" w:line="240" w:lineRule="auto"/>
    </w:pPr>
    <w:rPr>
      <w:rFonts w:ascii="Calibri" w:eastAsia="Times New Roman" w:hAnsi="Calibri" w:cs="Times New Roman"/>
      <w:lang w:eastAsia="it-IT"/>
    </w:rPr>
  </w:style>
  <w:style w:type="character" w:styleId="Rimandonotadichiusura">
    <w:name w:val="endnote reference"/>
    <w:uiPriority w:val="99"/>
    <w:semiHidden/>
    <w:unhideWhenUsed/>
    <w:rsid w:val="001B3C9B"/>
    <w:rPr>
      <w:vertAlign w:val="superscript"/>
    </w:rPr>
  </w:style>
  <w:style w:type="paragraph" w:styleId="Titolosommario">
    <w:name w:val="TOC Heading"/>
    <w:basedOn w:val="Titolo1"/>
    <w:next w:val="Normale"/>
    <w:uiPriority w:val="39"/>
    <w:unhideWhenUsed/>
    <w:qFormat/>
    <w:rsid w:val="000F0F38"/>
    <w:pPr>
      <w:spacing w:before="240" w:line="259" w:lineRule="auto"/>
      <w:ind w:firstLine="0"/>
      <w:outlineLvl w:val="9"/>
    </w:pPr>
    <w:rPr>
      <w:b w:val="0"/>
      <w:bCs w:val="0"/>
      <w:sz w:val="32"/>
      <w:szCs w:val="32"/>
    </w:rPr>
  </w:style>
  <w:style w:type="paragraph" w:styleId="Sommario2">
    <w:name w:val="toc 2"/>
    <w:basedOn w:val="Normale"/>
    <w:next w:val="Normale"/>
    <w:autoRedefine/>
    <w:uiPriority w:val="39"/>
    <w:unhideWhenUsed/>
    <w:rsid w:val="005F5AAA"/>
    <w:pPr>
      <w:tabs>
        <w:tab w:val="right" w:leader="dot" w:pos="9488"/>
      </w:tabs>
      <w:spacing w:after="100"/>
      <w:ind w:left="1560" w:hanging="1418"/>
    </w:pPr>
  </w:style>
  <w:style w:type="character" w:styleId="Collegamentovisitato">
    <w:name w:val="FollowedHyperlink"/>
    <w:basedOn w:val="Carpredefinitoparagrafo"/>
    <w:uiPriority w:val="99"/>
    <w:semiHidden/>
    <w:unhideWhenUsed/>
    <w:rsid w:val="00E63D8A"/>
    <w:rPr>
      <w:color w:val="800080" w:themeColor="followedHyperlink"/>
      <w:u w:val="single"/>
    </w:rPr>
  </w:style>
  <w:style w:type="character" w:customStyle="1" w:styleId="Menzionenonrisolta2">
    <w:name w:val="Menzione non risolta2"/>
    <w:basedOn w:val="Carpredefinitoparagrafo"/>
    <w:uiPriority w:val="99"/>
    <w:semiHidden/>
    <w:unhideWhenUsed/>
    <w:rsid w:val="006549AD"/>
    <w:rPr>
      <w:color w:val="605E5C"/>
      <w:shd w:val="clear" w:color="auto" w:fill="E1DFDD"/>
    </w:rPr>
  </w:style>
  <w:style w:type="character" w:styleId="Enfasicorsivo">
    <w:name w:val="Emphasis"/>
    <w:basedOn w:val="Carpredefinitoparagrafo"/>
    <w:uiPriority w:val="20"/>
    <w:qFormat/>
    <w:rsid w:val="00990C74"/>
    <w:rPr>
      <w:i/>
      <w:iCs/>
    </w:rPr>
  </w:style>
  <w:style w:type="character" w:styleId="Enfasigrassetto">
    <w:name w:val="Strong"/>
    <w:basedOn w:val="Carpredefinitoparagrafo"/>
    <w:uiPriority w:val="22"/>
    <w:qFormat/>
    <w:rsid w:val="00990C74"/>
    <w:rPr>
      <w:b/>
      <w:bCs/>
    </w:rPr>
  </w:style>
  <w:style w:type="character" w:styleId="Menzionenonrisolta">
    <w:name w:val="Unresolved Mention"/>
    <w:basedOn w:val="Carpredefinitoparagrafo"/>
    <w:uiPriority w:val="99"/>
    <w:semiHidden/>
    <w:unhideWhenUsed/>
    <w:rsid w:val="00FB7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62707">
      <w:bodyDiv w:val="1"/>
      <w:marLeft w:val="0"/>
      <w:marRight w:val="0"/>
      <w:marTop w:val="0"/>
      <w:marBottom w:val="0"/>
      <w:divBdr>
        <w:top w:val="none" w:sz="0" w:space="0" w:color="auto"/>
        <w:left w:val="none" w:sz="0" w:space="0" w:color="auto"/>
        <w:bottom w:val="none" w:sz="0" w:space="0" w:color="auto"/>
        <w:right w:val="none" w:sz="0" w:space="0" w:color="auto"/>
      </w:divBdr>
    </w:div>
    <w:div w:id="405104676">
      <w:bodyDiv w:val="1"/>
      <w:marLeft w:val="0"/>
      <w:marRight w:val="0"/>
      <w:marTop w:val="0"/>
      <w:marBottom w:val="0"/>
      <w:divBdr>
        <w:top w:val="none" w:sz="0" w:space="0" w:color="auto"/>
        <w:left w:val="none" w:sz="0" w:space="0" w:color="auto"/>
        <w:bottom w:val="none" w:sz="0" w:space="0" w:color="auto"/>
        <w:right w:val="none" w:sz="0" w:space="0" w:color="auto"/>
      </w:divBdr>
    </w:div>
    <w:div w:id="487601451">
      <w:bodyDiv w:val="1"/>
      <w:marLeft w:val="0"/>
      <w:marRight w:val="0"/>
      <w:marTop w:val="0"/>
      <w:marBottom w:val="0"/>
      <w:divBdr>
        <w:top w:val="none" w:sz="0" w:space="0" w:color="auto"/>
        <w:left w:val="none" w:sz="0" w:space="0" w:color="auto"/>
        <w:bottom w:val="none" w:sz="0" w:space="0" w:color="auto"/>
        <w:right w:val="none" w:sz="0" w:space="0" w:color="auto"/>
      </w:divBdr>
    </w:div>
    <w:div w:id="689842719">
      <w:bodyDiv w:val="1"/>
      <w:marLeft w:val="0"/>
      <w:marRight w:val="0"/>
      <w:marTop w:val="0"/>
      <w:marBottom w:val="0"/>
      <w:divBdr>
        <w:top w:val="none" w:sz="0" w:space="0" w:color="auto"/>
        <w:left w:val="none" w:sz="0" w:space="0" w:color="auto"/>
        <w:bottom w:val="none" w:sz="0" w:space="0" w:color="auto"/>
        <w:right w:val="none" w:sz="0" w:space="0" w:color="auto"/>
      </w:divBdr>
    </w:div>
    <w:div w:id="876043530">
      <w:bodyDiv w:val="1"/>
      <w:marLeft w:val="0"/>
      <w:marRight w:val="0"/>
      <w:marTop w:val="0"/>
      <w:marBottom w:val="0"/>
      <w:divBdr>
        <w:top w:val="none" w:sz="0" w:space="0" w:color="auto"/>
        <w:left w:val="none" w:sz="0" w:space="0" w:color="auto"/>
        <w:bottom w:val="none" w:sz="0" w:space="0" w:color="auto"/>
        <w:right w:val="none" w:sz="0" w:space="0" w:color="auto"/>
      </w:divBdr>
    </w:div>
    <w:div w:id="1026054258">
      <w:bodyDiv w:val="1"/>
      <w:marLeft w:val="0"/>
      <w:marRight w:val="0"/>
      <w:marTop w:val="0"/>
      <w:marBottom w:val="0"/>
      <w:divBdr>
        <w:top w:val="none" w:sz="0" w:space="0" w:color="auto"/>
        <w:left w:val="none" w:sz="0" w:space="0" w:color="auto"/>
        <w:bottom w:val="none" w:sz="0" w:space="0" w:color="auto"/>
        <w:right w:val="none" w:sz="0" w:space="0" w:color="auto"/>
      </w:divBdr>
    </w:div>
    <w:div w:id="1101489758">
      <w:bodyDiv w:val="1"/>
      <w:marLeft w:val="0"/>
      <w:marRight w:val="0"/>
      <w:marTop w:val="0"/>
      <w:marBottom w:val="0"/>
      <w:divBdr>
        <w:top w:val="none" w:sz="0" w:space="0" w:color="auto"/>
        <w:left w:val="none" w:sz="0" w:space="0" w:color="auto"/>
        <w:bottom w:val="none" w:sz="0" w:space="0" w:color="auto"/>
        <w:right w:val="none" w:sz="0" w:space="0" w:color="auto"/>
      </w:divBdr>
    </w:div>
    <w:div w:id="1115828234">
      <w:bodyDiv w:val="1"/>
      <w:marLeft w:val="0"/>
      <w:marRight w:val="0"/>
      <w:marTop w:val="0"/>
      <w:marBottom w:val="0"/>
      <w:divBdr>
        <w:top w:val="none" w:sz="0" w:space="0" w:color="auto"/>
        <w:left w:val="none" w:sz="0" w:space="0" w:color="auto"/>
        <w:bottom w:val="none" w:sz="0" w:space="0" w:color="auto"/>
        <w:right w:val="none" w:sz="0" w:space="0" w:color="auto"/>
      </w:divBdr>
    </w:div>
    <w:div w:id="1402026385">
      <w:bodyDiv w:val="1"/>
      <w:marLeft w:val="0"/>
      <w:marRight w:val="0"/>
      <w:marTop w:val="0"/>
      <w:marBottom w:val="0"/>
      <w:divBdr>
        <w:top w:val="none" w:sz="0" w:space="0" w:color="auto"/>
        <w:left w:val="none" w:sz="0" w:space="0" w:color="auto"/>
        <w:bottom w:val="none" w:sz="0" w:space="0" w:color="auto"/>
        <w:right w:val="none" w:sz="0" w:space="0" w:color="auto"/>
      </w:divBdr>
    </w:div>
    <w:div w:id="1575696714">
      <w:bodyDiv w:val="1"/>
      <w:marLeft w:val="0"/>
      <w:marRight w:val="0"/>
      <w:marTop w:val="0"/>
      <w:marBottom w:val="0"/>
      <w:divBdr>
        <w:top w:val="none" w:sz="0" w:space="0" w:color="auto"/>
        <w:left w:val="none" w:sz="0" w:space="0" w:color="auto"/>
        <w:bottom w:val="none" w:sz="0" w:space="0" w:color="auto"/>
        <w:right w:val="none" w:sz="0" w:space="0" w:color="auto"/>
      </w:divBdr>
    </w:div>
    <w:div w:id="1688826693">
      <w:bodyDiv w:val="1"/>
      <w:marLeft w:val="0"/>
      <w:marRight w:val="0"/>
      <w:marTop w:val="0"/>
      <w:marBottom w:val="0"/>
      <w:divBdr>
        <w:top w:val="none" w:sz="0" w:space="0" w:color="auto"/>
        <w:left w:val="none" w:sz="0" w:space="0" w:color="auto"/>
        <w:bottom w:val="none" w:sz="0" w:space="0" w:color="auto"/>
        <w:right w:val="none" w:sz="0" w:space="0" w:color="auto"/>
      </w:divBdr>
      <w:divsChild>
        <w:div w:id="862397271">
          <w:marLeft w:val="0"/>
          <w:marRight w:val="0"/>
          <w:marTop w:val="0"/>
          <w:marBottom w:val="0"/>
          <w:divBdr>
            <w:top w:val="none" w:sz="0" w:space="0" w:color="auto"/>
            <w:left w:val="none" w:sz="0" w:space="0" w:color="auto"/>
            <w:bottom w:val="none" w:sz="0" w:space="0" w:color="auto"/>
            <w:right w:val="none" w:sz="0" w:space="0" w:color="auto"/>
          </w:divBdr>
          <w:divsChild>
            <w:div w:id="886525268">
              <w:marLeft w:val="0"/>
              <w:marRight w:val="0"/>
              <w:marTop w:val="0"/>
              <w:marBottom w:val="0"/>
              <w:divBdr>
                <w:top w:val="none" w:sz="0" w:space="0" w:color="auto"/>
                <w:left w:val="none" w:sz="0" w:space="0" w:color="auto"/>
                <w:bottom w:val="none" w:sz="0" w:space="0" w:color="auto"/>
                <w:right w:val="none" w:sz="0" w:space="0" w:color="auto"/>
              </w:divBdr>
              <w:divsChild>
                <w:div w:id="15904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ndazioneifel.it/ifelinforma-news/item/10689-schema-di-regolamento-tari-di-recepimento-del-d-lgs-116-20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ndazioneifel.it/ifelinforma-news/item/11031-regolazione-rifiuti-la-compatibilita-tra-i-poteri-regolatori-di-arera-e-la-potesta-normativa-dei-comun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ondazioneifel.it/documenti-e-pubblicazioni/item/11251-video-e-slide-la-gestione-dei-reclami-delle-richieste-di-informazioni-e-di-rettifica-degli-importi-addebitati" TargetMode="External"/><Relationship Id="rId2" Type="http://schemas.openxmlformats.org/officeDocument/2006/relationships/hyperlink" Target="https://www.fondazioneifel.it/documenti-e-pubblicazioni/item/11236-video-e-slide-arera-la-gestione-delle-richieste-di-attivazione-variazione-e-cessazione-del-servizio" TargetMode="External"/><Relationship Id="rId1" Type="http://schemas.openxmlformats.org/officeDocument/2006/relationships/hyperlink" Target="https://www.fondazioneifel.it/ifelinforma-news/item/11031-regolazione-rifiuti-la-compatibilita-tra-i-poteri-regolatori-di-arera-e-la-potesta-normativa-dei-comuni" TargetMode="External"/><Relationship Id="rId5" Type="http://schemas.openxmlformats.org/officeDocument/2006/relationships/hyperlink" Target="https://www.anci.emilia-romagna.it/2022/04/11/schema-di-regolamento-tari-tributo-2022/" TargetMode="External"/><Relationship Id="rId4" Type="http://schemas.openxmlformats.org/officeDocument/2006/relationships/hyperlink" Target="https://www.fondazioneifel.it/documenti-e-pubblicazioni/item/11266-video-e-slide-arera-modalita-e-periodicita-di-pagamento-rateizzazione-e-rettifica-degli-importi-dovu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97B16440C0284DB854AF63A39636F4" ma:contentTypeVersion="13" ma:contentTypeDescription="Creare un nuovo documento." ma:contentTypeScope="" ma:versionID="95d1507cd610bd3aa815c97e4f89eca8">
  <xsd:schema xmlns:xsd="http://www.w3.org/2001/XMLSchema" xmlns:xs="http://www.w3.org/2001/XMLSchema" xmlns:p="http://schemas.microsoft.com/office/2006/metadata/properties" xmlns:ns3="3c7d610d-1288-46f6-bfd5-27cb5bc209d1" xmlns:ns4="b77abdce-a950-4c4c-95ef-573c919f75e0" targetNamespace="http://schemas.microsoft.com/office/2006/metadata/properties" ma:root="true" ma:fieldsID="b4c97854b5404ae298878b289dcd4b12" ns3:_="" ns4:_="">
    <xsd:import namespace="3c7d610d-1288-46f6-bfd5-27cb5bc209d1"/>
    <xsd:import namespace="b77abdce-a950-4c4c-95ef-573c919f75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d610d-1288-46f6-bfd5-27cb5bc20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7abdce-a950-4c4c-95ef-573c919f75e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658E7-B0EA-43CB-9D36-0C8C0631A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d610d-1288-46f6-bfd5-27cb5bc209d1"/>
    <ds:schemaRef ds:uri="b77abdce-a950-4c4c-95ef-573c919f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E240A-9234-4BCF-A895-7E0F6F80188E}">
  <ds:schemaRefs>
    <ds:schemaRef ds:uri="http://schemas.microsoft.com/sharepoint/v3/contenttype/forms"/>
  </ds:schemaRefs>
</ds:datastoreItem>
</file>

<file path=customXml/itemProps3.xml><?xml version="1.0" encoding="utf-8"?>
<ds:datastoreItem xmlns:ds="http://schemas.openxmlformats.org/officeDocument/2006/customXml" ds:itemID="{2F367D85-36CD-4019-9B3B-358052B4E1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9C1269-D2ED-446A-9176-02AE214F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7829</Words>
  <Characters>44631</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2022-12-12T09:57:00Z</dcterms:created>
  <dcterms:modified xsi:type="dcterms:W3CDTF">2022-12-12T09:57:00Z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0x0101000697B16440C0284DB854AF63A39636F4</vt:lpwstr>
  </property>
</Properties>
</file>